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E32" w:rsidRPr="00FA5834" w:rsidRDefault="00FB1B52" w:rsidP="00647E32">
      <w:pPr>
        <w:jc w:val="center"/>
        <w:rPr>
          <w:b/>
        </w:rPr>
      </w:pPr>
      <w:bookmarkStart w:id="0" w:name="_GoBack"/>
      <w:bookmarkEnd w:id="0"/>
      <w:r>
        <w:rPr>
          <w:b/>
          <w:bCs/>
        </w:rPr>
        <w:t>L</w:t>
      </w:r>
      <w:r w:rsidR="00647E32" w:rsidRPr="00FA5834">
        <w:rPr>
          <w:b/>
          <w:bCs/>
        </w:rPr>
        <w:t>ikumprojekta</w:t>
      </w:r>
    </w:p>
    <w:p w:rsidR="00647E32" w:rsidRPr="00FA5834" w:rsidRDefault="00647E32" w:rsidP="00BD0B63">
      <w:pPr>
        <w:pStyle w:val="Title"/>
        <w:spacing w:before="120"/>
      </w:pPr>
      <w:r w:rsidRPr="00FA5834">
        <w:t>„Grozījum</w:t>
      </w:r>
      <w:r w:rsidR="0001101B">
        <w:t>i</w:t>
      </w:r>
      <w:r w:rsidR="00D30E0A" w:rsidRPr="00FA5834">
        <w:t xml:space="preserve"> Sugu un biotopu </w:t>
      </w:r>
      <w:r w:rsidRPr="00FA5834">
        <w:t>aizsardzības likumā”</w:t>
      </w:r>
    </w:p>
    <w:p w:rsidR="00647E32" w:rsidRPr="00FA5834" w:rsidRDefault="00647E32" w:rsidP="00D30E0A">
      <w:pPr>
        <w:pStyle w:val="naislab"/>
        <w:spacing w:before="0" w:after="0"/>
        <w:jc w:val="center"/>
        <w:outlineLvl w:val="0"/>
        <w:rPr>
          <w:b/>
        </w:rPr>
      </w:pPr>
      <w:r w:rsidRPr="00FA5834">
        <w:rPr>
          <w:b/>
        </w:rPr>
        <w:t>sākotnējās ietekmes novērtējuma ziņojums</w:t>
      </w:r>
    </w:p>
    <w:p w:rsidR="00113639" w:rsidRPr="00FA5834" w:rsidRDefault="00647E32" w:rsidP="00D30E0A">
      <w:pPr>
        <w:pStyle w:val="naislab"/>
        <w:spacing w:before="0" w:after="0"/>
        <w:jc w:val="center"/>
        <w:outlineLvl w:val="0"/>
      </w:pPr>
      <w:r w:rsidRPr="00FA5834">
        <w:rPr>
          <w:b/>
        </w:rPr>
        <w:t>(anotācija)</w:t>
      </w:r>
    </w:p>
    <w:tbl>
      <w:tblPr>
        <w:tblpPr w:leftFromText="180" w:rightFromText="180" w:vertAnchor="text" w:horzAnchor="margin" w:tblpXSpec="center" w:tblpY="149"/>
        <w:tblW w:w="9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155"/>
        <w:gridCol w:w="6300"/>
      </w:tblGrid>
      <w:tr w:rsidR="00647E32" w:rsidRPr="00FA5834" w:rsidTr="00BD0B63">
        <w:tc>
          <w:tcPr>
            <w:tcW w:w="9005" w:type="dxa"/>
            <w:gridSpan w:val="3"/>
            <w:vAlign w:val="center"/>
          </w:tcPr>
          <w:p w:rsidR="00647E32" w:rsidRPr="00FA5834" w:rsidRDefault="00647E32" w:rsidP="00BD0B63">
            <w:pPr>
              <w:pStyle w:val="naisnod"/>
              <w:spacing w:before="0" w:after="0"/>
              <w:ind w:right="71"/>
            </w:pPr>
            <w:r w:rsidRPr="00FA5834">
              <w:t>I. Tiesību akta projekta izstrādes nepieciešamība</w:t>
            </w:r>
          </w:p>
        </w:tc>
      </w:tr>
      <w:tr w:rsidR="00647E32" w:rsidRPr="00FA5834" w:rsidTr="00BD0B63">
        <w:trPr>
          <w:trHeight w:val="630"/>
        </w:trPr>
        <w:tc>
          <w:tcPr>
            <w:tcW w:w="550" w:type="dxa"/>
          </w:tcPr>
          <w:p w:rsidR="00647E32" w:rsidRPr="00FA5834" w:rsidRDefault="00647E32" w:rsidP="00BD0B63">
            <w:pPr>
              <w:pStyle w:val="naiskr"/>
              <w:spacing w:before="0" w:after="0"/>
              <w:ind w:right="71"/>
            </w:pPr>
            <w:r w:rsidRPr="00FA5834">
              <w:t>1.</w:t>
            </w:r>
          </w:p>
        </w:tc>
        <w:tc>
          <w:tcPr>
            <w:tcW w:w="2155" w:type="dxa"/>
          </w:tcPr>
          <w:p w:rsidR="00647E32" w:rsidRPr="00FA5834" w:rsidRDefault="00647E32" w:rsidP="00BD0B63">
            <w:pPr>
              <w:pStyle w:val="naiskr"/>
              <w:spacing w:before="0" w:after="0"/>
              <w:ind w:right="71" w:hanging="10"/>
            </w:pPr>
            <w:r w:rsidRPr="00FA5834">
              <w:t>Pamatojums</w:t>
            </w:r>
          </w:p>
        </w:tc>
        <w:tc>
          <w:tcPr>
            <w:tcW w:w="6300" w:type="dxa"/>
          </w:tcPr>
          <w:p w:rsidR="003E58D7" w:rsidRPr="00CE4CF6" w:rsidRDefault="00C92442" w:rsidP="003E58D7">
            <w:pPr>
              <w:pStyle w:val="CommentText"/>
              <w:jc w:val="both"/>
              <w:rPr>
                <w:color w:val="000000"/>
                <w:sz w:val="24"/>
                <w:szCs w:val="24"/>
              </w:rPr>
            </w:pPr>
            <w:r w:rsidRPr="00CE4CF6">
              <w:rPr>
                <w:color w:val="000000"/>
                <w:sz w:val="24"/>
                <w:szCs w:val="24"/>
              </w:rPr>
              <w:t>Likumprojekts “Grozījumi Sugu un biotopu aizsardzības likumā” (turpmāk – likumprojekts) izstrādāts pēc Vides aizsardzības un reģionālās attīstības ministrija</w:t>
            </w:r>
            <w:r w:rsidR="003E58D7" w:rsidRPr="00CE4CF6">
              <w:rPr>
                <w:color w:val="000000"/>
                <w:sz w:val="24"/>
                <w:szCs w:val="24"/>
              </w:rPr>
              <w:t>s (turpmāk – VARAM) iniciatīvas, lai izpildītu Satversmes tiesas 2014.gada 19.marta spriedumā lietā Nr.2013-13-01 “Par Sugu un biotopu aizsardzības likuma pārejas noteikumu 8.punkta atbilstību Latvijas R</w:t>
            </w:r>
            <w:r w:rsidR="009157F6">
              <w:rPr>
                <w:color w:val="000000"/>
                <w:sz w:val="24"/>
                <w:szCs w:val="24"/>
              </w:rPr>
              <w:t>epublikas Satversmes 1.un 105.</w:t>
            </w:r>
            <w:r w:rsidR="003E58D7" w:rsidRPr="00CE4CF6">
              <w:rPr>
                <w:color w:val="000000"/>
                <w:sz w:val="24"/>
                <w:szCs w:val="24"/>
              </w:rPr>
              <w:t>pantam” 18.punktā noteikto.</w:t>
            </w:r>
          </w:p>
          <w:p w:rsidR="00C92442" w:rsidRPr="00CE4CF6" w:rsidRDefault="00C92442" w:rsidP="00D83C2B">
            <w:pPr>
              <w:pStyle w:val="naiskr"/>
              <w:spacing w:before="0" w:after="0"/>
              <w:ind w:right="71"/>
              <w:jc w:val="both"/>
              <w:rPr>
                <w:color w:val="000000"/>
              </w:rPr>
            </w:pPr>
          </w:p>
        </w:tc>
      </w:tr>
      <w:tr w:rsidR="00647E32" w:rsidRPr="00FA5834" w:rsidTr="00BD0B63">
        <w:trPr>
          <w:trHeight w:val="70"/>
        </w:trPr>
        <w:tc>
          <w:tcPr>
            <w:tcW w:w="550" w:type="dxa"/>
          </w:tcPr>
          <w:p w:rsidR="00647E32" w:rsidRPr="00FA5834" w:rsidRDefault="00647E32" w:rsidP="00BD0B63">
            <w:pPr>
              <w:pStyle w:val="naiskr"/>
              <w:spacing w:before="0" w:after="0"/>
              <w:ind w:right="71"/>
            </w:pPr>
            <w:r w:rsidRPr="00FA5834">
              <w:t>2.</w:t>
            </w:r>
          </w:p>
        </w:tc>
        <w:tc>
          <w:tcPr>
            <w:tcW w:w="2155" w:type="dxa"/>
          </w:tcPr>
          <w:p w:rsidR="00647E32" w:rsidRPr="00FA5834" w:rsidRDefault="00647E32" w:rsidP="00BD0B63">
            <w:pPr>
              <w:pStyle w:val="naiskr"/>
              <w:tabs>
                <w:tab w:val="left" w:pos="170"/>
              </w:tabs>
              <w:spacing w:before="0" w:after="0"/>
              <w:ind w:right="71"/>
            </w:pPr>
            <w:r w:rsidRPr="00FA5834">
              <w:t>P</w:t>
            </w:r>
            <w:r w:rsidR="006C08A8">
              <w:t>ašreizējā situācija un problēmas, kuru risināšanai tiesību akta projekts izstrādāts, tiesiskā regulējuma mērķis un būtība</w:t>
            </w:r>
          </w:p>
        </w:tc>
        <w:tc>
          <w:tcPr>
            <w:tcW w:w="6300" w:type="dxa"/>
          </w:tcPr>
          <w:p w:rsidR="007D396D" w:rsidRPr="00FA5834" w:rsidRDefault="00647E32" w:rsidP="00BD0B63">
            <w:pPr>
              <w:pStyle w:val="naisf"/>
              <w:ind w:right="71" w:firstLine="0"/>
              <w:rPr>
                <w:color w:val="000000"/>
              </w:rPr>
            </w:pPr>
            <w:r w:rsidRPr="00FA5834">
              <w:rPr>
                <w:color w:val="000000"/>
              </w:rPr>
              <w:t>Sugu un biotopu aizsardzības likums paredz zemes īpašniekiem</w:t>
            </w:r>
            <w:r w:rsidR="00D30E0A" w:rsidRPr="00FA5834">
              <w:rPr>
                <w:color w:val="000000"/>
              </w:rPr>
              <w:t xml:space="preserve"> un pastāvīgajiem lietotājiem</w:t>
            </w:r>
            <w:r w:rsidRPr="00FA5834">
              <w:rPr>
                <w:color w:val="000000"/>
              </w:rPr>
              <w:t xml:space="preserve"> tiesības saņemt no Latvijas vides aizsardzības fonda līdzekļiem kompensāciju par īpaši aizsargājamo nemedījamo sugu un migrējošo sugu dzīvnieku nodarītajiem būtiskiem postījumiem. Likums </w:t>
            </w:r>
            <w:r w:rsidR="00AB49A4" w:rsidRPr="00FA5834">
              <w:rPr>
                <w:color w:val="000000"/>
              </w:rPr>
              <w:t xml:space="preserve">ir vairākkārtīgi </w:t>
            </w:r>
            <w:r w:rsidRPr="00FA5834">
              <w:rPr>
                <w:color w:val="000000"/>
              </w:rPr>
              <w:t>grozīts, nosakot, ka k</w:t>
            </w:r>
            <w:r w:rsidRPr="00FA5834">
              <w:t>ompensāciju par īpaši aizsargājamo nemedījamo sugu un migrējošo sugu dzīvnieku nodarītajiem būtiskiem postījumiem neaprēķina un neizmaksā 2009.,2010.</w:t>
            </w:r>
            <w:r w:rsidR="00AB49A4" w:rsidRPr="00FA5834">
              <w:t>,</w:t>
            </w:r>
            <w:r w:rsidRPr="00FA5834">
              <w:t>2011.</w:t>
            </w:r>
            <w:r w:rsidR="009157F6">
              <w:t>, 2012.un 2013.</w:t>
            </w:r>
            <w:r w:rsidRPr="00FA5834">
              <w:t>gadā.</w:t>
            </w:r>
            <w:r w:rsidRPr="00FA5834">
              <w:rPr>
                <w:color w:val="000000"/>
              </w:rPr>
              <w:t xml:space="preserve"> </w:t>
            </w:r>
          </w:p>
          <w:p w:rsidR="00406292" w:rsidRDefault="00382AA7" w:rsidP="00153F32">
            <w:pPr>
              <w:tabs>
                <w:tab w:val="left" w:pos="993"/>
                <w:tab w:val="left" w:pos="1134"/>
              </w:tabs>
              <w:jc w:val="both"/>
            </w:pPr>
            <w:r>
              <w:t>V</w:t>
            </w:r>
            <w:r w:rsidR="00091ECD">
              <w:t xml:space="preserve">alsts budžetā nav </w:t>
            </w:r>
            <w:r w:rsidR="00EA1AF7">
              <w:t xml:space="preserve">atsevišķi paredzētu </w:t>
            </w:r>
            <w:r w:rsidR="00091ECD">
              <w:t xml:space="preserve">līdzekļu, lai izmaksātu kompensācijas par </w:t>
            </w:r>
            <w:r w:rsidR="00091ECD" w:rsidRPr="00FA5834">
              <w:rPr>
                <w:color w:val="000000"/>
              </w:rPr>
              <w:t>īpaši aizsargājamo nemedījamo sugu un migrējošo sugu dzīvnieku nodarītajiem būtiskiem postījumiem</w:t>
            </w:r>
            <w:r w:rsidR="009157F6">
              <w:t xml:space="preserve"> 2015.gadā. </w:t>
            </w:r>
            <w:r w:rsidR="00153F32">
              <w:t>Dabas aizsardzības p</w:t>
            </w:r>
            <w:r w:rsidR="00DE212B">
              <w:t>ārvaldei</w:t>
            </w:r>
            <w:r w:rsidR="005F4749">
              <w:t xml:space="preserve"> </w:t>
            </w:r>
            <w:r w:rsidR="00153F32">
              <w:t>2015.–2017.</w:t>
            </w:r>
            <w:r w:rsidR="00153F32" w:rsidRPr="00511E37">
              <w:t>gada</w:t>
            </w:r>
            <w:r w:rsidR="00DE212B">
              <w:t>m</w:t>
            </w:r>
            <w:r w:rsidR="00406292">
              <w:t xml:space="preserve"> kompensāciju izmaksai par saimnieciskās darbības ierobežojumiem īpaši aizsargājamās </w:t>
            </w:r>
            <w:r w:rsidR="00DE212B">
              <w:t xml:space="preserve">dabas teritorijās un mikroliegumos ir pieejami 658 605 </w:t>
            </w:r>
            <w:r w:rsidR="00DE212B" w:rsidRPr="00F11B1C">
              <w:rPr>
                <w:i/>
              </w:rPr>
              <w:t>euro</w:t>
            </w:r>
            <w:r w:rsidR="00DE212B">
              <w:t xml:space="preserve"> katru gadu. Šo kompensāciju izmaksai nepieciešamais līdzekļu apjoms indikatīvi ir 367 231 </w:t>
            </w:r>
            <w:r w:rsidR="00DE212B" w:rsidRPr="00F11B1C">
              <w:rPr>
                <w:i/>
              </w:rPr>
              <w:t>euro</w:t>
            </w:r>
            <w:r w:rsidR="00DE212B">
              <w:t xml:space="preserve"> katru gadu. </w:t>
            </w:r>
            <w:r w:rsidR="00C20963">
              <w:t>Attiecīgi</w:t>
            </w:r>
            <w:r w:rsidR="00DE212B">
              <w:t xml:space="preserve"> </w:t>
            </w:r>
            <w:r w:rsidR="00703C5C">
              <w:t xml:space="preserve">pārpalikumu, kas ir 291 374 </w:t>
            </w:r>
            <w:r w:rsidR="000362E8" w:rsidRPr="00F11B1C">
              <w:rPr>
                <w:i/>
              </w:rPr>
              <w:t>euro</w:t>
            </w:r>
            <w:r w:rsidR="000362E8">
              <w:t xml:space="preserve"> apmērā</w:t>
            </w:r>
            <w:r w:rsidR="001940C2">
              <w:t xml:space="preserve"> katru gadu</w:t>
            </w:r>
            <w:r w:rsidR="000362E8">
              <w:t xml:space="preserve">, ir iespējams pārdalīt kompensācijām par </w:t>
            </w:r>
            <w:r w:rsidR="000362E8" w:rsidRPr="00FA5834">
              <w:rPr>
                <w:color w:val="000000"/>
              </w:rPr>
              <w:t>īpaši aizsargājamo nemedījamo sugu un migrējošo sugu dzīvnieku nodarītajiem būtiskiem postījumiem</w:t>
            </w:r>
            <w:r w:rsidR="001940C2">
              <w:t>.</w:t>
            </w:r>
          </w:p>
          <w:p w:rsidR="00091ECD" w:rsidRPr="00FA5834" w:rsidRDefault="00091ECD" w:rsidP="00AB49A4">
            <w:pPr>
              <w:jc w:val="both"/>
            </w:pPr>
          </w:p>
          <w:p w:rsidR="004969D1" w:rsidRDefault="009157F6" w:rsidP="004969D1">
            <w:pPr>
              <w:jc w:val="both"/>
            </w:pPr>
            <w:r>
              <w:t>2013.</w:t>
            </w:r>
            <w:r w:rsidR="00AB49A4" w:rsidRPr="00FA5834">
              <w:t>ga</w:t>
            </w:r>
            <w:r w:rsidR="00A75DE1">
              <w:t>da 16.augustā Satversmes tiesa</w:t>
            </w:r>
            <w:r w:rsidR="00AB49A4" w:rsidRPr="00FA5834">
              <w:t xml:space="preserve"> ierosināja lietu "Par Sugu un biotopu aizsardzī</w:t>
            </w:r>
            <w:r w:rsidR="00BD4098">
              <w:t>bas likuma pārejas noteikumu 8.</w:t>
            </w:r>
            <w:r w:rsidR="00AB49A4" w:rsidRPr="00FA5834">
              <w:t>punkta atbilstību La</w:t>
            </w:r>
            <w:r>
              <w:t>tvijas Republikas Satversmes 1.un 105.</w:t>
            </w:r>
            <w:r w:rsidR="00AB49A4" w:rsidRPr="00FA5834">
              <w:t xml:space="preserve">pantam". </w:t>
            </w:r>
            <w:r>
              <w:t>2014.gada 19.</w:t>
            </w:r>
            <w:r w:rsidR="004969D1">
              <w:t>martā Satversmes tiesa i</w:t>
            </w:r>
            <w:r>
              <w:t>r pieņēmusi spriedumu lietā Nr.</w:t>
            </w:r>
            <w:r w:rsidR="004969D1">
              <w:t>2013-13-01 „Par Sugu un biotopu aizsardzī</w:t>
            </w:r>
            <w:r w:rsidR="00BD4098">
              <w:t>bas likuma pārejas noteikumu 8.</w:t>
            </w:r>
            <w:r w:rsidR="004969D1">
              <w:t>punkta atbilstību La</w:t>
            </w:r>
            <w:r>
              <w:t>tvijas Republikas Satversmes 1.</w:t>
            </w:r>
            <w:r w:rsidR="004969D1">
              <w:t>un 105</w:t>
            </w:r>
            <w:r>
              <w:t>.</w:t>
            </w:r>
            <w:r w:rsidR="004969D1">
              <w:t>pantam</w:t>
            </w:r>
            <w:r w:rsidR="00C92442">
              <w:t>.</w:t>
            </w:r>
            <w:r w:rsidR="006443D0">
              <w:t>”</w:t>
            </w:r>
          </w:p>
          <w:p w:rsidR="004969D1" w:rsidRDefault="004969D1" w:rsidP="004969D1">
            <w:pPr>
              <w:jc w:val="both"/>
            </w:pPr>
          </w:p>
          <w:p w:rsidR="004969D1" w:rsidRDefault="00A75DE1" w:rsidP="004969D1">
            <w:pPr>
              <w:jc w:val="both"/>
            </w:pPr>
            <w:r>
              <w:t>Lieta</w:t>
            </w:r>
            <w:r w:rsidR="004969D1">
              <w:t xml:space="preserve"> tika ierosināta pēc Augstākās tiesas Senāta Administratīvo lietu departamenta pieteikuma. Administratīvo lietu departaments izskatīja lietu par kompensāciju par īpaši aizsargājamo nemedījamo sugu un migrējošo sugu dzīvnieku nodarītajiem būtiskiem postījumiem</w:t>
            </w:r>
            <w:r>
              <w:t xml:space="preserve">. </w:t>
            </w:r>
            <w:r w:rsidR="004969D1">
              <w:t xml:space="preserve">Ar sūdzību AT vērsās SIA </w:t>
            </w:r>
            <w:r w:rsidR="004969D1">
              <w:lastRenderedPageBreak/>
              <w:t>„Sātiņi-S”, kura nodarbojas ar zivsaimniecību dabas lieguma „Sātiņu dīķi” robežās. Atteikums aprēķināt</w:t>
            </w:r>
            <w:r w:rsidR="00C92442">
              <w:t xml:space="preserve"> </w:t>
            </w:r>
            <w:r w:rsidR="004969D1">
              <w:t>un izmaksāt kompensāciju pamatots ar apstrīdēto normu.</w:t>
            </w:r>
          </w:p>
          <w:p w:rsidR="004969D1" w:rsidRDefault="004969D1" w:rsidP="004969D1">
            <w:pPr>
              <w:jc w:val="both"/>
            </w:pPr>
          </w:p>
          <w:p w:rsidR="004969D1" w:rsidRDefault="004969D1" w:rsidP="004969D1">
            <w:pPr>
              <w:jc w:val="both"/>
            </w:pPr>
            <w:r>
              <w:t>Apstrīdētā norma paredz, ka kompensāciju par īpaši aizsargājamo nemedījamo sugu un migrējošo sugu dzīvnieku nodarītajiem būtiskiem postījumiem neapr</w:t>
            </w:r>
            <w:r w:rsidR="009157F6">
              <w:t>ēķina un neizmaksā 2009., 2010. un 2011.</w:t>
            </w:r>
            <w:r>
              <w:t xml:space="preserve">gadā. </w:t>
            </w:r>
          </w:p>
          <w:p w:rsidR="004969D1" w:rsidRDefault="00A75DE1" w:rsidP="004969D1">
            <w:pPr>
              <w:jc w:val="both"/>
            </w:pPr>
            <w:r>
              <w:t>Satversmes tiesa atz</w:t>
            </w:r>
            <w:r w:rsidR="006443D0">
              <w:t>ina</w:t>
            </w:r>
            <w:r>
              <w:t xml:space="preserve">, ka </w:t>
            </w:r>
            <w:r w:rsidR="004969D1">
              <w:t>apstrīdētā norma noteic pamattiesību nesamērīgu ierobežojumu. Līdz ar to apstrīdētā norma neatbilst tiesiskās paļāvības principam un attie</w:t>
            </w:r>
            <w:r w:rsidR="009157F6">
              <w:t>cīgi tā neatbilst Satversmes 1.un 105.</w:t>
            </w:r>
            <w:r w:rsidR="004969D1">
              <w:t>pantam. Tomēr Satversmes tiesa ņēma vērā, ka apstrīdētās normas atcelšanai nevar piešķirt vispārēju atpakaļvērstu spēku. Tiesiskās stabilitātes un skaidrības saglabāšanai piemērots risinājums ir apstrīdētās normas atcelšana tikai attiecībā uz SIA „Sātiņi-S”. Attiecībā uz SIA „Sātiņi-S” apstrīdētā norma atzīta par spēkā neesošu no tās pieņemšanas brīža.</w:t>
            </w:r>
          </w:p>
          <w:p w:rsidR="004969D1" w:rsidRPr="004F2995" w:rsidRDefault="00A75DE1" w:rsidP="001F31DD">
            <w:pPr>
              <w:pStyle w:val="PlainText"/>
              <w:rPr>
                <w:rFonts w:ascii="Times New Roman" w:hAnsi="Times New Roman"/>
                <w:sz w:val="24"/>
                <w:szCs w:val="24"/>
              </w:rPr>
            </w:pPr>
            <w:r w:rsidRPr="00F36818">
              <w:rPr>
                <w:rFonts w:ascii="Times New Roman" w:hAnsi="Times New Roman"/>
                <w:sz w:val="24"/>
                <w:szCs w:val="24"/>
              </w:rPr>
              <w:t>Līdz ar to</w:t>
            </w:r>
            <w:r w:rsidR="006443D0" w:rsidRPr="00F36818">
              <w:rPr>
                <w:rFonts w:ascii="Times New Roman" w:hAnsi="Times New Roman"/>
                <w:sz w:val="24"/>
                <w:szCs w:val="24"/>
              </w:rPr>
              <w:t>,</w:t>
            </w:r>
            <w:r w:rsidRPr="00F36818">
              <w:rPr>
                <w:rFonts w:ascii="Times New Roman" w:hAnsi="Times New Roman"/>
                <w:sz w:val="24"/>
                <w:szCs w:val="24"/>
              </w:rPr>
              <w:t xml:space="preserve"> </w:t>
            </w:r>
            <w:r w:rsidR="004969D1" w:rsidRPr="00F36818">
              <w:rPr>
                <w:rFonts w:ascii="Times New Roman" w:hAnsi="Times New Roman"/>
                <w:sz w:val="24"/>
                <w:szCs w:val="24"/>
              </w:rPr>
              <w:t>izpildot Satversmes tiesas spriedumu</w:t>
            </w:r>
            <w:r w:rsidR="00A2717B" w:rsidRPr="00F36818">
              <w:rPr>
                <w:rFonts w:ascii="Times New Roman" w:hAnsi="Times New Roman"/>
                <w:sz w:val="24"/>
                <w:szCs w:val="24"/>
              </w:rPr>
              <w:t>,</w:t>
            </w:r>
            <w:r w:rsidR="009157F6" w:rsidRPr="00F36818">
              <w:rPr>
                <w:rFonts w:ascii="Times New Roman" w:hAnsi="Times New Roman"/>
                <w:sz w:val="24"/>
                <w:szCs w:val="24"/>
              </w:rPr>
              <w:t xml:space="preserve"> 2014.</w:t>
            </w:r>
            <w:r w:rsidR="004969D1" w:rsidRPr="00F36818">
              <w:rPr>
                <w:rFonts w:ascii="Times New Roman" w:hAnsi="Times New Roman"/>
                <w:sz w:val="24"/>
                <w:szCs w:val="24"/>
              </w:rPr>
              <w:t>gadā SIA „Sātiņi-S”</w:t>
            </w:r>
            <w:r w:rsidRPr="00F36818">
              <w:rPr>
                <w:rFonts w:ascii="Times New Roman" w:hAnsi="Times New Roman"/>
                <w:sz w:val="24"/>
                <w:szCs w:val="24"/>
              </w:rPr>
              <w:t xml:space="preserve"> ir izmaksāta kompensācija </w:t>
            </w:r>
            <w:r w:rsidR="001F31DD" w:rsidRPr="00F36818">
              <w:rPr>
                <w:rFonts w:ascii="Times New Roman" w:hAnsi="Times New Roman"/>
                <w:sz w:val="24"/>
                <w:szCs w:val="24"/>
              </w:rPr>
              <w:t xml:space="preserve">88 563,12 </w:t>
            </w:r>
            <w:r w:rsidRPr="00F36818">
              <w:rPr>
                <w:rFonts w:ascii="Times New Roman" w:hAnsi="Times New Roman"/>
                <w:i/>
                <w:sz w:val="24"/>
                <w:szCs w:val="24"/>
              </w:rPr>
              <w:t>euro</w:t>
            </w:r>
            <w:r w:rsidRPr="00F36818">
              <w:rPr>
                <w:rFonts w:ascii="Times New Roman" w:hAnsi="Times New Roman"/>
                <w:sz w:val="24"/>
                <w:szCs w:val="24"/>
              </w:rPr>
              <w:t xml:space="preserve"> </w:t>
            </w:r>
            <w:r w:rsidR="008D25A0" w:rsidRPr="00F36818">
              <w:rPr>
                <w:rFonts w:ascii="Times New Roman" w:hAnsi="Times New Roman"/>
                <w:sz w:val="24"/>
                <w:szCs w:val="24"/>
              </w:rPr>
              <w:t>apmērā (</w:t>
            </w:r>
            <w:r w:rsidR="004969D1" w:rsidRPr="00F36818">
              <w:rPr>
                <w:rFonts w:ascii="Times New Roman" w:hAnsi="Times New Roman"/>
                <w:sz w:val="24"/>
                <w:szCs w:val="24"/>
              </w:rPr>
              <w:t xml:space="preserve">par </w:t>
            </w:r>
            <w:r w:rsidR="009157F6" w:rsidRPr="00F36818">
              <w:rPr>
                <w:rFonts w:ascii="Times New Roman" w:hAnsi="Times New Roman"/>
                <w:sz w:val="24"/>
                <w:szCs w:val="24"/>
              </w:rPr>
              <w:t>2009., 2010. un 2011.</w:t>
            </w:r>
            <w:r w:rsidR="004969D1" w:rsidRPr="00F36818">
              <w:rPr>
                <w:rFonts w:ascii="Times New Roman" w:hAnsi="Times New Roman"/>
                <w:sz w:val="24"/>
                <w:szCs w:val="24"/>
              </w:rPr>
              <w:t>gadu).</w:t>
            </w:r>
            <w:r w:rsidR="00CB1BEE" w:rsidRPr="004F2995">
              <w:rPr>
                <w:rFonts w:ascii="Times New Roman" w:hAnsi="Times New Roman"/>
                <w:sz w:val="24"/>
                <w:szCs w:val="24"/>
              </w:rPr>
              <w:t xml:space="preserve"> </w:t>
            </w:r>
          </w:p>
          <w:p w:rsidR="00245027" w:rsidRDefault="00245027" w:rsidP="004969D1">
            <w:pPr>
              <w:jc w:val="both"/>
            </w:pPr>
          </w:p>
          <w:p w:rsidR="0071278B" w:rsidRDefault="00CB1BEE" w:rsidP="00A95CE5">
            <w:pPr>
              <w:pStyle w:val="Default"/>
              <w:ind w:right="74"/>
              <w:jc w:val="both"/>
            </w:pPr>
            <w:r>
              <w:t xml:space="preserve">Arī citiem zemes īpašniekiem, kuru </w:t>
            </w:r>
            <w:r w:rsidRPr="00FA5834">
              <w:rPr>
                <w:iCs/>
              </w:rPr>
              <w:t xml:space="preserve">darbība var tikt ietekmēta no </w:t>
            </w:r>
            <w:r w:rsidRPr="00FA5834">
              <w:t>īpaši aizsargājamo nemedījamo sugu un migrējošo sugu d</w:t>
            </w:r>
            <w:r>
              <w:t>zīvnieku būtiskiem postījumiem</w:t>
            </w:r>
            <w:r w:rsidR="00885006">
              <w:t>,</w:t>
            </w:r>
            <w:r>
              <w:t xml:space="preserve"> ir tiesības</w:t>
            </w:r>
            <w:r w:rsidR="00E539F0">
              <w:t xml:space="preserve"> vērsties ar sūdzību tiesā</w:t>
            </w:r>
            <w:r w:rsidR="00A95CE5">
              <w:t>.</w:t>
            </w:r>
          </w:p>
          <w:p w:rsidR="008D6E37" w:rsidRDefault="00A5776F" w:rsidP="006C08A8">
            <w:pPr>
              <w:jc w:val="both"/>
            </w:pPr>
            <w:r>
              <w:t>Ņemot vērā minēto, likumprojekts paredz</w:t>
            </w:r>
            <w:r w:rsidR="008D6E37">
              <w:t>:</w:t>
            </w:r>
          </w:p>
          <w:p w:rsidR="00CC1962" w:rsidRDefault="00CC1962" w:rsidP="006C08A8">
            <w:pPr>
              <w:jc w:val="both"/>
            </w:pPr>
          </w:p>
          <w:p w:rsidR="007670F9" w:rsidRPr="009C5D72" w:rsidRDefault="00F1488C" w:rsidP="009157F6">
            <w:pPr>
              <w:jc w:val="both"/>
            </w:pPr>
            <w:r>
              <w:t>1.</w:t>
            </w:r>
            <w:r w:rsidR="007670F9">
              <w:t>N</w:t>
            </w:r>
            <w:r w:rsidR="007670F9" w:rsidRPr="00242673">
              <w:t>oteikt, ka vārdi „pastāvīgie lietotāji” tiek aizstāti ar vārdiem „lietotāji” attiecīgajā locījumā. Pamatojoties uz likuma „Par zemes lietošanu un zemes ierīcību” spēka zaudēšanu 2009.</w:t>
            </w:r>
            <w:r w:rsidR="009157F6">
              <w:t>gada 30.</w:t>
            </w:r>
            <w:r w:rsidR="007670F9" w:rsidRPr="00242673">
              <w:t>decembrī, termins „pastāvīgie lietotāji” ir</w:t>
            </w:r>
            <w:r w:rsidR="00D51A7A">
              <w:t xml:space="preserve"> zaudējis savu aktualitāti</w:t>
            </w:r>
            <w:r w:rsidR="009157F6">
              <w:t>. Šī likuma 13.</w:t>
            </w:r>
            <w:r w:rsidR="007670F9">
              <w:t>pantā bija noteikts zemes pastāvīgās lietošanas jēdziens – tas ir tāds zemes lietojuma veids, kad lietošanas termiņš lēmumā par zemes piešķiršanu lietošanā nav noteikts un tas bija saistīts ar zemes reformas procesu. No Augstākās Tiesas Senāta Administratīvo lietu departamenta 2</w:t>
            </w:r>
            <w:r w:rsidR="009157F6">
              <w:t>008.gada 9.</w:t>
            </w:r>
            <w:r w:rsidR="007670F9">
              <w:t xml:space="preserve">oktobra lēmuma SKA390/2008 izriet, ka zemes pastāvīgā lietošana nav zemes noma. </w:t>
            </w:r>
            <w:r w:rsidR="007670F9" w:rsidRPr="009C5D72">
              <w:t>Tā kā šis termins normatīvajos aktos vairs netiek lietots, tas tiek aizstāts ar Civillikumā lietotu terminoloģiju.</w:t>
            </w:r>
            <w:r w:rsidR="009C5D72" w:rsidRPr="009C5D72">
              <w:t xml:space="preserve"> Turklāt, kompensācijām par īpaši aizsargājamo un nemedījamo sugu un migrējošo sugu dzīvnieku nodarītajiem būtiskiem postījumiem izmaksā personai, kas faktiski izmanto zemi un tas ne vienmēr ir zemes īpašnieks, kā jau to arī nosaka Ministru Kabineta 2007.gada 20.novembra noteikumi „Kārtība, kādā zemes lietotājiem nosakāmi to zaudējumu apmēri, kas saistīti ar īpaši aizsargājamo nemedījamo sugu un migrējošo sugu dzīvnieku nodarītajiem būtiskiem postījumiem”.</w:t>
            </w:r>
          </w:p>
          <w:p w:rsidR="00F1242F" w:rsidRPr="00955CFA" w:rsidRDefault="00765CF7" w:rsidP="009157F6">
            <w:pPr>
              <w:jc w:val="both"/>
            </w:pPr>
            <w:r w:rsidRPr="00B36DA3">
              <w:lastRenderedPageBreak/>
              <w:t xml:space="preserve">2.Ņemot vērā, ka </w:t>
            </w:r>
            <w:r w:rsidR="00955CFA" w:rsidRPr="00B36DA3">
              <w:t>l</w:t>
            </w:r>
            <w:r w:rsidR="00F1242F" w:rsidRPr="00B36DA3">
              <w:t>ikumprojekts</w:t>
            </w:r>
            <w:r w:rsidR="00955CFA" w:rsidRPr="00B36DA3">
              <w:t xml:space="preserve"> tiek papildināts ar nosacījumu, ka zemes īpašnieks vai lietotājs ir tiesīgs saņemt kompensāciju</w:t>
            </w:r>
            <w:r w:rsidR="00875638" w:rsidRPr="00B36DA3">
              <w:t xml:space="preserve"> par</w:t>
            </w:r>
            <w:r w:rsidR="00875638" w:rsidRPr="00B36DA3">
              <w:rPr>
                <w:color w:val="000000"/>
              </w:rPr>
              <w:t xml:space="preserve"> īpaši aizsargājamo nemedījamo sugu un migrējošo sugu dzīvnieku nodarītajiem būtiskiem postījumiem</w:t>
            </w:r>
            <w:r w:rsidR="00955CFA" w:rsidRPr="00B36DA3">
              <w:t xml:space="preserve">, ja </w:t>
            </w:r>
            <w:r w:rsidR="005A08B4">
              <w:t xml:space="preserve">tas </w:t>
            </w:r>
            <w:r w:rsidR="00955CFA" w:rsidRPr="00B36DA3">
              <w:t xml:space="preserve">ir veicis </w:t>
            </w:r>
            <w:r w:rsidR="005A08B4">
              <w:t>nepieciešamā</w:t>
            </w:r>
            <w:r w:rsidR="00955CFA" w:rsidRPr="00B36DA3">
              <w:t xml:space="preserve">s aizsardzības prasības, lai postījumus novērstu, Ministru Kabinetam tiek dots deleģējums noteikt minimālās prasības labāko pieejamo aizsardzības </w:t>
            </w:r>
            <w:r w:rsidR="00875638" w:rsidRPr="00B36DA3">
              <w:t xml:space="preserve">pasākumu </w:t>
            </w:r>
            <w:r w:rsidR="00955CFA" w:rsidRPr="00B36DA3">
              <w:t>ieviešanai.</w:t>
            </w:r>
            <w:r w:rsidR="00875638">
              <w:t xml:space="preserve"> </w:t>
            </w:r>
          </w:p>
          <w:p w:rsidR="00955CFA" w:rsidRDefault="00955CFA" w:rsidP="009157F6">
            <w:pPr>
              <w:jc w:val="both"/>
            </w:pPr>
          </w:p>
          <w:p w:rsidR="009157F6" w:rsidRDefault="00F1488C" w:rsidP="009157F6">
            <w:pPr>
              <w:jc w:val="both"/>
            </w:pPr>
            <w:r>
              <w:t>2.</w:t>
            </w:r>
            <w:r w:rsidR="00262E25">
              <w:t xml:space="preserve"> Izdarīt precizējumus 5.panta 10</w:t>
            </w:r>
            <w:r w:rsidR="00262E25" w:rsidRPr="00B607A6">
              <w:rPr>
                <w:vertAlign w:val="superscript"/>
              </w:rPr>
              <w:t>1</w:t>
            </w:r>
            <w:r w:rsidR="00262E25">
              <w:t xml:space="preserve">.punktā, aizstājot </w:t>
            </w:r>
            <w:r w:rsidR="00B056A2">
              <w:t xml:space="preserve">veco </w:t>
            </w:r>
            <w:r w:rsidR="009157F6">
              <w:t xml:space="preserve">Eiropas Parlamenta un Padomes direktīvas par savvaļas putnu aizsardzību datumu un numuru </w:t>
            </w:r>
            <w:r w:rsidR="00262E25">
              <w:t>ar jauno konsolidēto versiju. Lai nodrošinātu sabiedrības informētību ar ziņojuma saturu,</w:t>
            </w:r>
            <w:r w:rsidR="00BC5699">
              <w:t xml:space="preserve"> kas iesniedzams Eiropas K</w:t>
            </w:r>
            <w:r w:rsidR="00B056A2">
              <w:t>omisijā,</w:t>
            </w:r>
            <w:r w:rsidR="00262E25">
              <w:t xml:space="preserve"> tiek izdarīts papildinājums 10</w:t>
            </w:r>
            <w:r w:rsidR="00262E25" w:rsidRPr="00B607A6">
              <w:rPr>
                <w:vertAlign w:val="superscript"/>
              </w:rPr>
              <w:t>1</w:t>
            </w:r>
            <w:r w:rsidR="00262E25">
              <w:t>.punktā nosakot, ka zi</w:t>
            </w:r>
            <w:r w:rsidR="00B056A2">
              <w:t>ņojuma pārskats</w:t>
            </w:r>
            <w:r w:rsidR="00262E25">
              <w:t xml:space="preserve"> ir iesniedzams Ministru kabinetā.</w:t>
            </w:r>
            <w:r w:rsidR="00BC5699">
              <w:t xml:space="preserve"> </w:t>
            </w:r>
          </w:p>
          <w:p w:rsidR="007670F9" w:rsidRPr="00DD1C77" w:rsidRDefault="007670F9" w:rsidP="007670F9">
            <w:pPr>
              <w:jc w:val="both"/>
            </w:pPr>
          </w:p>
          <w:p w:rsidR="00EA0CC3" w:rsidRDefault="00F1488C" w:rsidP="009F459A">
            <w:pPr>
              <w:jc w:val="both"/>
              <w:rPr>
                <w:color w:val="000000"/>
              </w:rPr>
            </w:pPr>
            <w:r>
              <w:t>3.</w:t>
            </w:r>
            <w:r w:rsidR="0001101B">
              <w:t xml:space="preserve">Izdarīt </w:t>
            </w:r>
            <w:r w:rsidR="009157F6">
              <w:t>precizējumus 8.</w:t>
            </w:r>
            <w:r w:rsidR="00C268E5">
              <w:t xml:space="preserve">panta sestajā daļā, papildinot to ar vārdiem „un īpaši aizsargājamo sugu dzīvotņu”, jo saskaņā ar </w:t>
            </w:r>
            <w:r w:rsidR="00470983">
              <w:t xml:space="preserve">likuma </w:t>
            </w:r>
            <w:r w:rsidR="009157F6">
              <w:t>4.panta 18.</w:t>
            </w:r>
            <w:r w:rsidR="00C268E5">
              <w:t xml:space="preserve">punktu, Ministru kabinets nosaka kritērijus īpaši aizsargājamo biotopu un </w:t>
            </w:r>
            <w:r w:rsidR="00C268E5" w:rsidRPr="00043B73">
              <w:rPr>
                <w:u w:val="single"/>
              </w:rPr>
              <w:t>īpaši aizsargājamo sugu dzīvotņu</w:t>
            </w:r>
            <w:r w:rsidR="00C268E5">
              <w:t xml:space="preserve"> atjaunošanai mežā un atjaunošanas atļaujas izsniegšanas kārtību. T</w:t>
            </w:r>
            <w:r w:rsidR="009157F6">
              <w:t>urklāt, Ministru kabinets 2013.gada 18.</w:t>
            </w:r>
            <w:r w:rsidR="00C268E5">
              <w:t xml:space="preserve">jūnijā ir izdevis noteikumus </w:t>
            </w:r>
            <w:r w:rsidR="006443D0">
              <w:t>N</w:t>
            </w:r>
            <w:r w:rsidR="009157F6">
              <w:t>r.</w:t>
            </w:r>
            <w:r w:rsidR="00C268E5">
              <w:t xml:space="preserve">325 „Noteikumi par īpaši aizsargājamo biotopu </w:t>
            </w:r>
            <w:r w:rsidR="00C268E5" w:rsidRPr="007052ED">
              <w:rPr>
                <w:u w:val="single"/>
              </w:rPr>
              <w:t>un īpaši aizsargājamo sugu dzīvotņu</w:t>
            </w:r>
            <w:r w:rsidR="00C268E5">
              <w:t xml:space="preserve"> atjaunošanu mežā”.</w:t>
            </w:r>
            <w:r w:rsidR="009F459A">
              <w:t xml:space="preserve"> </w:t>
            </w:r>
            <w:r w:rsidR="009F459A" w:rsidRPr="00CE4CF6">
              <w:rPr>
                <w:color w:val="000000"/>
              </w:rPr>
              <w:t xml:space="preserve">Precizējumi izdarīti, lai </w:t>
            </w:r>
            <w:r w:rsidR="00EA0CC3" w:rsidRPr="00CE4CF6">
              <w:rPr>
                <w:color w:val="000000"/>
              </w:rPr>
              <w:t>saskaņotu š</w:t>
            </w:r>
            <w:r w:rsidR="009F459A" w:rsidRPr="00CE4CF6">
              <w:rPr>
                <w:color w:val="000000"/>
              </w:rPr>
              <w:t>ajos noteikumos un likumprojektā</w:t>
            </w:r>
            <w:r w:rsidR="00EA0CC3" w:rsidRPr="00CE4CF6">
              <w:rPr>
                <w:color w:val="000000"/>
              </w:rPr>
              <w:t xml:space="preserve"> izmantoto terminoloģiju</w:t>
            </w:r>
            <w:r w:rsidR="009F459A" w:rsidRPr="00CE4CF6">
              <w:rPr>
                <w:color w:val="000000"/>
              </w:rPr>
              <w:t>.</w:t>
            </w:r>
          </w:p>
          <w:p w:rsidR="005C44CE" w:rsidRDefault="005C44CE" w:rsidP="009F459A">
            <w:pPr>
              <w:jc w:val="both"/>
              <w:rPr>
                <w:color w:val="000000"/>
              </w:rPr>
            </w:pPr>
          </w:p>
          <w:p w:rsidR="008960A3" w:rsidRDefault="00A66769" w:rsidP="005C44CE">
            <w:pPr>
              <w:tabs>
                <w:tab w:val="left" w:pos="1134"/>
              </w:tabs>
              <w:jc w:val="both"/>
              <w:rPr>
                <w:color w:val="000000"/>
              </w:rPr>
            </w:pPr>
            <w:r w:rsidRPr="00F36818">
              <w:rPr>
                <w:color w:val="000000"/>
              </w:rPr>
              <w:t>4.</w:t>
            </w:r>
            <w:r w:rsidR="00C1780D" w:rsidRPr="00F36818">
              <w:rPr>
                <w:color w:val="000000"/>
              </w:rPr>
              <w:t xml:space="preserve">Noteikt, ka </w:t>
            </w:r>
            <w:r w:rsidR="00C1780D" w:rsidRPr="00F36818">
              <w:t xml:space="preserve">informācija par īpaši aizsargājamām sugām un biotopiem tiek ietverta </w:t>
            </w:r>
            <w:r w:rsidR="008A24EB" w:rsidRPr="00F36818">
              <w:t>dabas datu pārvaldības sistēmas valst</w:t>
            </w:r>
            <w:r w:rsidR="00A924AF" w:rsidRPr="00F36818">
              <w:t>s</w:t>
            </w:r>
            <w:r w:rsidR="008A24EB" w:rsidRPr="00F36818">
              <w:t xml:space="preserve"> reģistrā. </w:t>
            </w:r>
            <w:r w:rsidR="005C44CE" w:rsidRPr="00F36818">
              <w:rPr>
                <w:color w:val="000000"/>
              </w:rPr>
              <w:t>Sugu un biotopu aizsardzības likuma 4.panta 19.punkts paredz vienīgi Ministru kabinetam noteikt dabas datu pārval</w:t>
            </w:r>
            <w:r w:rsidR="009607BC" w:rsidRPr="00F36818">
              <w:rPr>
                <w:color w:val="000000"/>
              </w:rPr>
              <w:t>dības sistēmā ietverto</w:t>
            </w:r>
            <w:r w:rsidR="005C44CE" w:rsidRPr="00F36818">
              <w:rPr>
                <w:color w:val="000000"/>
              </w:rPr>
              <w:t xml:space="preserve"> mikroliegumu, īpaši aizsargājamo sugu, to dzīvotņu un īpaši aizsargājamo biotopu valsts reģistra uzturēšanas un datu aktualizācijas un informācijas aprites kārtību, taču likums nenosaka, ka </w:t>
            </w:r>
            <w:r w:rsidR="00B00E1F" w:rsidRPr="00F36818">
              <w:rPr>
                <w:color w:val="000000"/>
              </w:rPr>
              <w:t>šāds reģistrs ir izveidojams</w:t>
            </w:r>
            <w:r w:rsidR="005C44CE" w:rsidRPr="00F36818">
              <w:rPr>
                <w:color w:val="000000"/>
              </w:rPr>
              <w:t>. Dabas aizsardzības pārvaldei sadarbojoties ar citām institūcijām, tās regulāri vērš uzmanību uz to, ka īpaši aizsargājamo sugu, to dzīvotņu un īpaši aizsargājamo biotopu valsts reģistra statuss nav tiesiski nostiprināts.</w:t>
            </w:r>
            <w:r w:rsidR="005C44CE">
              <w:rPr>
                <w:color w:val="000000"/>
              </w:rPr>
              <w:t xml:space="preserve"> </w:t>
            </w:r>
          </w:p>
          <w:p w:rsidR="00C268E5" w:rsidRDefault="00C268E5" w:rsidP="00C268E5">
            <w:pPr>
              <w:jc w:val="both"/>
            </w:pPr>
          </w:p>
          <w:p w:rsidR="007E1355" w:rsidRPr="00163DA7" w:rsidRDefault="00A66769" w:rsidP="00CC1962">
            <w:pPr>
              <w:jc w:val="both"/>
            </w:pPr>
            <w:r>
              <w:t>5</w:t>
            </w:r>
            <w:r w:rsidR="009157F6">
              <w:t>.</w:t>
            </w:r>
            <w:r w:rsidR="009157F6" w:rsidRPr="00163DA7">
              <w:t>10.</w:t>
            </w:r>
            <w:r w:rsidR="00CC1962" w:rsidRPr="00163DA7">
              <w:t xml:space="preserve">panta </w:t>
            </w:r>
            <w:r w:rsidR="00163DA7" w:rsidRPr="00163DA7">
              <w:t>pirm</w:t>
            </w:r>
            <w:r w:rsidR="0001101B" w:rsidRPr="00163DA7">
              <w:t>ā</w:t>
            </w:r>
            <w:r w:rsidR="00163DA7" w:rsidRPr="00163DA7">
              <w:t>s daļas jaunā redakcija nosaka</w:t>
            </w:r>
            <w:r w:rsidR="00CC1962" w:rsidRPr="00163DA7">
              <w:t xml:space="preserve">, ka kompensāciju izmaksāšana par </w:t>
            </w:r>
            <w:r w:rsidR="00CC1962" w:rsidRPr="00163DA7">
              <w:rPr>
                <w:color w:val="000000"/>
              </w:rPr>
              <w:t>īpaši aizsargājamo nemedījamo sugu un migrējošo sugu dzīvnieku nodarītajiem būtiskiem postījumiem</w:t>
            </w:r>
            <w:r w:rsidR="001A4012" w:rsidRPr="00163DA7">
              <w:rPr>
                <w:color w:val="000000"/>
              </w:rPr>
              <w:t xml:space="preserve"> </w:t>
            </w:r>
            <w:r w:rsidR="00163DA7" w:rsidRPr="00163DA7">
              <w:rPr>
                <w:color w:val="000000"/>
              </w:rPr>
              <w:t xml:space="preserve">tiek veikta </w:t>
            </w:r>
            <w:r w:rsidR="001A4012" w:rsidRPr="00163DA7">
              <w:rPr>
                <w:color w:val="000000"/>
              </w:rPr>
              <w:t>no valsts budžeta līdzekļiem</w:t>
            </w:r>
            <w:r w:rsidR="00163DA7" w:rsidRPr="00163DA7">
              <w:rPr>
                <w:color w:val="000000"/>
              </w:rPr>
              <w:t>, kā</w:t>
            </w:r>
            <w:r w:rsidR="00163DA7">
              <w:rPr>
                <w:color w:val="000000"/>
              </w:rPr>
              <w:t xml:space="preserve"> arī to, ka </w:t>
            </w:r>
            <w:r w:rsidR="0059575C">
              <w:t xml:space="preserve">kompensāciju par </w:t>
            </w:r>
            <w:r w:rsidR="0059575C" w:rsidRPr="00FA5834">
              <w:rPr>
                <w:color w:val="000000"/>
              </w:rPr>
              <w:t>īpaši aizsargājamo nemedījamo sugu un migrējošo sugu dzīvnieku nodarītajiem būtiskiem postījumiem</w:t>
            </w:r>
            <w:r w:rsidR="0059575C">
              <w:rPr>
                <w:color w:val="000000"/>
              </w:rPr>
              <w:t xml:space="preserve"> ir tiesības saņemt tikai tādā gadījum</w:t>
            </w:r>
            <w:r w:rsidR="00965FB5">
              <w:rPr>
                <w:color w:val="000000"/>
              </w:rPr>
              <w:t>ā, ja</w:t>
            </w:r>
            <w:r w:rsidR="0059575C">
              <w:rPr>
                <w:color w:val="000000"/>
              </w:rPr>
              <w:t xml:space="preserve"> </w:t>
            </w:r>
            <w:r w:rsidR="00EF527F">
              <w:rPr>
                <w:color w:val="000000"/>
              </w:rPr>
              <w:t xml:space="preserve">ir </w:t>
            </w:r>
            <w:r w:rsidR="0059575C">
              <w:rPr>
                <w:color w:val="000000"/>
              </w:rPr>
              <w:t xml:space="preserve">veikti </w:t>
            </w:r>
            <w:r w:rsidR="00B7625F">
              <w:rPr>
                <w:color w:val="000000"/>
              </w:rPr>
              <w:t>nepieciešamie</w:t>
            </w:r>
            <w:r w:rsidR="0059575C">
              <w:rPr>
                <w:color w:val="000000"/>
              </w:rPr>
              <w:t xml:space="preserve"> aizsardzības pasākumi</w:t>
            </w:r>
            <w:r w:rsidR="007E1355">
              <w:rPr>
                <w:color w:val="000000"/>
              </w:rPr>
              <w:t xml:space="preserve"> to novēršanai un, </w:t>
            </w:r>
            <w:r w:rsidR="007E1355">
              <w:t>izmantojot savas zināšanas, spējas un praktiskās iespējas</w:t>
            </w:r>
            <w:r w:rsidR="007E1355" w:rsidRPr="006374A8">
              <w:t xml:space="preserve">, </w:t>
            </w:r>
            <w:r w:rsidR="007E1355" w:rsidRPr="006374A8">
              <w:rPr>
                <w:bCs/>
              </w:rPr>
              <w:t xml:space="preserve">ir ieviestas saudzīgas </w:t>
            </w:r>
            <w:r w:rsidR="007E1355" w:rsidRPr="006374A8">
              <w:rPr>
                <w:bCs/>
              </w:rPr>
              <w:lastRenderedPageBreak/>
              <w:t>ekoloģiskās metodes</w:t>
            </w:r>
            <w:r w:rsidR="007E1355" w:rsidRPr="006374A8">
              <w:t>,</w:t>
            </w:r>
            <w:r w:rsidR="007E1355">
              <w:t xml:space="preserve"> lai zaudējumus novērstu vai samazinātu. Aizsardzības pasākumu mērķis ir, neapdraudot dzīvnieku veselību un nekaitējot apkārtējai videi, pēc iespējas samazināt zaudējuma apmēru. </w:t>
            </w:r>
            <w:r w:rsidR="00753657">
              <w:t xml:space="preserve">Pie šādiem pasākumiem pieskaitāmi tādi pasākumi, kā </w:t>
            </w:r>
            <w:r w:rsidR="00753657">
              <w:rPr>
                <w:color w:val="000000"/>
              </w:rPr>
              <w:t xml:space="preserve">teritorijas norobežošana (žogi), ganāmpulku apsargāšana (apmācīti suņi), ganāmpulka </w:t>
            </w:r>
            <w:r w:rsidR="00753657" w:rsidRPr="007F6954">
              <w:rPr>
                <w:color w:val="000000"/>
              </w:rPr>
              <w:t>neatstāšana pa nakti ārā</w:t>
            </w:r>
            <w:r w:rsidR="00753657">
              <w:rPr>
                <w:color w:val="000000"/>
              </w:rPr>
              <w:t>, putnu atbaidīšana u.c. ekoloģiskas metodes</w:t>
            </w:r>
            <w:r w:rsidR="00684B62">
              <w:rPr>
                <w:color w:val="000000"/>
              </w:rPr>
              <w:t xml:space="preserve"> postījumu novēršanai.</w:t>
            </w:r>
            <w:r w:rsidR="00541C21">
              <w:rPr>
                <w:color w:val="000000"/>
              </w:rPr>
              <w:t xml:space="preserve"> </w:t>
            </w:r>
          </w:p>
          <w:p w:rsidR="00523AD0" w:rsidRPr="00523AD0" w:rsidRDefault="00523AD0" w:rsidP="00523AD0">
            <w:pPr>
              <w:jc w:val="both"/>
            </w:pPr>
            <w:r w:rsidRPr="00523AD0">
              <w:t xml:space="preserve">Ministru kabineta 2007.gada 20.novembra noteikumos Nr.778 „Kārtība, kādā zemes lietotājiem nosakāmi to zaudējumu apmēri, kas saistīti ar īpaši aizsargājamo nemedījamo sugu un migrējošo sugu dzīvnieku nodarītajiem būtiskiem postījumiem” ir iekļautas prasības par zaudējumu novēršanas pasākumu veikšanu, lai saņemtu kompensācijas, savukārt likumā šāda norma nav atrunāta. </w:t>
            </w:r>
          </w:p>
          <w:p w:rsidR="00523AD0" w:rsidRDefault="00523AD0" w:rsidP="00523AD0">
            <w:pPr>
              <w:jc w:val="both"/>
            </w:pPr>
            <w:r w:rsidRPr="00523AD0">
              <w:t>Arī citās Eiropas valstīs kompensāciju par nemedījamo un migrējošo sugu dzīvnieku nodarītajiem postījumiem izmaksāšanu veic</w:t>
            </w:r>
            <w:r w:rsidR="00143EC3">
              <w:t xml:space="preserve"> tikai tad</w:t>
            </w:r>
            <w:r w:rsidRPr="00523AD0">
              <w:t>, ja ir ievērots nosacījums par aizsardzības pasākum</w:t>
            </w:r>
            <w:r w:rsidR="00143EC3">
              <w:t>u</w:t>
            </w:r>
            <w:r w:rsidRPr="00523AD0">
              <w:t xml:space="preserve"> ieviešanu postījumu novēršanai, piemēram, Igaunijā, Ungārijā, Polijā.</w:t>
            </w:r>
          </w:p>
          <w:p w:rsidR="00DA4F40" w:rsidRDefault="00262D18" w:rsidP="00CC1962">
            <w:pPr>
              <w:jc w:val="both"/>
            </w:pPr>
            <w:r>
              <w:t xml:space="preserve">Papildus norādām, ka Sugu un biotopu aizsardzības likumā ir iekļautas tiesību normas, kas izriet no </w:t>
            </w:r>
            <w:r w:rsidR="00AF268E">
              <w:t>Eiropas Padomes 1992.gada 21</w:t>
            </w:r>
            <w:r w:rsidR="00AD5548">
              <w:t>.maija direktīvas 92/43/EEK par dabisko dzīvotņu, savvaļas faunas un floras aizsardzību</w:t>
            </w:r>
            <w:r w:rsidR="0030591C">
              <w:t xml:space="preserve"> (turpmāk – Biotopu direktīva)</w:t>
            </w:r>
            <w:r w:rsidR="00AD5548">
              <w:t xml:space="preserve"> un Eiropas Parlamenta un Padomes 2009.gada 30.novembra direktīvas 2009/147/EK par savvaļas putnu aizsardzību</w:t>
            </w:r>
            <w:r w:rsidR="0030591C">
              <w:t xml:space="preserve"> (turpmāk – Putnu direktīva)</w:t>
            </w:r>
            <w:r w:rsidR="00AD5548">
              <w:t xml:space="preserve">. </w:t>
            </w:r>
            <w:r w:rsidR="00D553DD">
              <w:t xml:space="preserve">10.panta (1) daļas jaunā redakcija ir </w:t>
            </w:r>
            <w:r w:rsidR="00AD5548">
              <w:t xml:space="preserve">arī atbilstoša normām, kuras izriet no </w:t>
            </w:r>
            <w:r w:rsidR="00D553DD">
              <w:t>Eiropas Savienības Pamatnostādnēm par valsts atbalstu lauksaimniecības un mežsaimniecības nozarē un lauku apvidos 2014.-2020.gadam</w:t>
            </w:r>
            <w:r w:rsidR="00AD5548">
              <w:t xml:space="preserve"> (turpmāk – Pamatnostādnes), kuras nosaka, ka kompensācijas </w:t>
            </w:r>
            <w:r w:rsidR="0030591C">
              <w:t>var tikt</w:t>
            </w:r>
            <w:r w:rsidR="00AD5548">
              <w:t xml:space="preserve"> piešķirtas, </w:t>
            </w:r>
            <w:r w:rsidR="00863111">
              <w:t xml:space="preserve">lai kompensētu radušās papildus izmaksas un negūtos ienākumus, kas attiecīgajā teritorijā </w:t>
            </w:r>
            <w:r w:rsidR="00AD5548">
              <w:t>radušās</w:t>
            </w:r>
            <w:r w:rsidR="00863111">
              <w:t xml:space="preserve"> no neērtībām, kuras saistītas ar Biotopu direktīvas</w:t>
            </w:r>
            <w:r w:rsidR="0030591C">
              <w:t xml:space="preserve"> un/vai</w:t>
            </w:r>
            <w:r w:rsidR="00863111">
              <w:t xml:space="preserve"> Putnu direktīvas īstenošanu. </w:t>
            </w:r>
            <w:r w:rsidR="0030591C">
              <w:t>No kompensāciju saņēmējiem tiek prasīts minimāls pretieguldījums, lai samazinātu iekšējā tirgus konkurences izkropļojumu risku un radītu stimulu riska samazināšanai. Šis pretieguldījums jāveic kā lietderīgi profilaktiski pasākumi (kā jau iepriekš minēts - žogi, kur tas iespējams, ganu suņi, utt</w:t>
            </w:r>
            <w:r w:rsidR="008E41CE">
              <w:t>.</w:t>
            </w:r>
            <w:r w:rsidR="0030591C">
              <w:t xml:space="preserve">), kas ir samērīgi ar </w:t>
            </w:r>
            <w:r w:rsidR="00B07BEC">
              <w:t xml:space="preserve">īpaši </w:t>
            </w:r>
            <w:r w:rsidR="0030591C">
              <w:t xml:space="preserve">aizsargājamo </w:t>
            </w:r>
            <w:r w:rsidR="00B07BEC">
              <w:t xml:space="preserve">nemedījamo sugu un migrējošo sugu </w:t>
            </w:r>
            <w:r w:rsidR="0030591C">
              <w:t xml:space="preserve">dzīvnieku nodarītā kaitējuma risku. </w:t>
            </w:r>
            <w:r w:rsidR="00B07BEC">
              <w:t xml:space="preserve">Tādējādi likuma 10.panta (1)daļas jaunā redakcija </w:t>
            </w:r>
            <w:r w:rsidR="00912CFE">
              <w:t xml:space="preserve">uzsver šobrīd </w:t>
            </w:r>
            <w:r w:rsidR="00B07BEC">
              <w:t>9.panta 4.punkt</w:t>
            </w:r>
            <w:r w:rsidR="00912CFE">
              <w:t>ā noteikto normu</w:t>
            </w:r>
            <w:r w:rsidR="00B07BEC">
              <w:t xml:space="preserve">, ka zemes īpašniekam un pastāvīgajam lietotājam ir pienākums ieviest saudzīgas ekoloģiskās metodes, lai novērtu dzīvnieku nodarītos postījumus. </w:t>
            </w:r>
            <w:r w:rsidR="00912CFE">
              <w:t>Pretējā gadījumā zem</w:t>
            </w:r>
            <w:r w:rsidR="008E41CE">
              <w:t>e</w:t>
            </w:r>
            <w:r w:rsidR="00912CFE">
              <w:t xml:space="preserve">s īpašniekam un lietotājam tiks liegta iespēja saņemt kompensāciju, kā arī </w:t>
            </w:r>
            <w:r w:rsidR="00A60B11">
              <w:t xml:space="preserve">10.panta pirmās </w:t>
            </w:r>
            <w:r w:rsidR="00B07BEC">
              <w:t xml:space="preserve">daļas jaunā redakcija samazinās </w:t>
            </w:r>
            <w:r w:rsidR="00912CFE">
              <w:t xml:space="preserve">to īpašnieku skaitu, kas ar apzinātu rīcību veicināja īpaši aizsargājamo </w:t>
            </w:r>
            <w:r w:rsidR="00912CFE">
              <w:lastRenderedPageBreak/>
              <w:t xml:space="preserve">nemedījamo sugu vai migrējošo sugu dzīvnieku nodarīto postījumu apmēru, ar mērķi saņemt par to kompensāciju, gadījumos, kad tika prognozēta neražas sezona. </w:t>
            </w:r>
          </w:p>
          <w:p w:rsidR="00EB5542" w:rsidRDefault="00EB5542" w:rsidP="00CC1962">
            <w:pPr>
              <w:jc w:val="both"/>
            </w:pPr>
          </w:p>
          <w:p w:rsidR="00B3404E" w:rsidRPr="003C5544" w:rsidRDefault="00163DA7" w:rsidP="00AC4136">
            <w:pPr>
              <w:jc w:val="both"/>
            </w:pPr>
            <w:r>
              <w:t>6</w:t>
            </w:r>
            <w:r w:rsidR="00F1488C" w:rsidRPr="006374A8">
              <w:t>.</w:t>
            </w:r>
            <w:r w:rsidR="004859BE">
              <w:t xml:space="preserve">Izteikt 10.panta trešo daļu citā redakcijā, nosakot, ka kompensāciju par </w:t>
            </w:r>
            <w:r w:rsidR="004859BE" w:rsidRPr="006374A8">
              <w:rPr>
                <w:color w:val="000000"/>
              </w:rPr>
              <w:t>nemedījamo un migrējošo putnu nodarītajiem postījumiem</w:t>
            </w:r>
            <w:r w:rsidR="00ED2139">
              <w:rPr>
                <w:color w:val="000000"/>
              </w:rPr>
              <w:t xml:space="preserve"> būs iespējams saņemt </w:t>
            </w:r>
            <w:r w:rsidR="00A52030">
              <w:rPr>
                <w:color w:val="000000"/>
              </w:rPr>
              <w:t xml:space="preserve">tikai </w:t>
            </w:r>
            <w:r w:rsidR="00D307B5">
              <w:rPr>
                <w:color w:val="000000"/>
              </w:rPr>
              <w:t>no viena finanšu avota</w:t>
            </w:r>
            <w:r w:rsidR="00DB081D">
              <w:rPr>
                <w:color w:val="000000"/>
              </w:rPr>
              <w:t xml:space="preserve">- </w:t>
            </w:r>
            <w:r w:rsidR="00D307B5" w:rsidRPr="006374A8">
              <w:t xml:space="preserve">no </w:t>
            </w:r>
            <w:r w:rsidR="00DB081D">
              <w:t xml:space="preserve">valsts budžeta līdzekļiem, </w:t>
            </w:r>
            <w:r w:rsidR="00D307B5">
              <w:t xml:space="preserve">vai no </w:t>
            </w:r>
            <w:r w:rsidR="00DB081D">
              <w:t xml:space="preserve">ES fondu līdzekļiem. Pašreizējā redakcija nosaka, ka kompensāciju ir iespējams saņemt gan no valsts budžeta līdzekļiem, gan ES līdzekļiem, ja kāds no šiem avotiem nesedz kompensāciju pilnā apmērā. Praksē šī norma darbojas tādā veidā, ka, neskatoties uz to, ka pieteicējs saņem kompensāciju no ES fonda, tas iesniedz arī prasību par kompensācijas saņemšanu </w:t>
            </w:r>
            <w:r w:rsidR="00F332E2">
              <w:t>no valsts budžeta līdzekļiem</w:t>
            </w:r>
            <w:r w:rsidR="00F332E2" w:rsidRPr="00B36DA3">
              <w:t>.</w:t>
            </w:r>
            <w:r w:rsidR="00B3404E" w:rsidRPr="00B36DA3">
              <w:t xml:space="preserve"> </w:t>
            </w:r>
            <w:r w:rsidR="00C23413" w:rsidRPr="00B36DA3">
              <w:t xml:space="preserve">Saskaņā ar </w:t>
            </w:r>
            <w:r w:rsidR="00B3404E" w:rsidRPr="00B36DA3">
              <w:t>E</w:t>
            </w:r>
            <w:r w:rsidR="003C5544" w:rsidRPr="00B36DA3">
              <w:t>iropas Savienības Pamatno</w:t>
            </w:r>
            <w:r w:rsidR="00AC4136" w:rsidRPr="00B36DA3">
              <w:t>stādņu</w:t>
            </w:r>
            <w:r w:rsidR="00B3404E" w:rsidRPr="00B36DA3">
              <w:t xml:space="preserve"> par valsts atbalstu lauksaimniecības un mežsaimniecības </w:t>
            </w:r>
            <w:r w:rsidR="003C5544" w:rsidRPr="00B36DA3">
              <w:t xml:space="preserve">nozarē un lauku </w:t>
            </w:r>
            <w:r w:rsidR="00B3404E" w:rsidRPr="00B36DA3">
              <w:t>apvidos 2014.–2020.gadam</w:t>
            </w:r>
            <w:r w:rsidR="00AC4136" w:rsidRPr="00B36DA3">
              <w:t xml:space="preserve">, dalībvalstīm jānodrošina, ka </w:t>
            </w:r>
            <w:r w:rsidR="00817F5C" w:rsidRPr="00B36DA3">
              <w:t>netiek pieļauta pārmērīga kompensācija, apvienojot valsts atbalstu ar citiem Eiropas Sav</w:t>
            </w:r>
            <w:r w:rsidR="005D22CD" w:rsidRPr="00B36DA3">
              <w:t xml:space="preserve">ienības atbalsta instrumentiem, </w:t>
            </w:r>
            <w:r w:rsidR="00544BD4" w:rsidRPr="00B36DA3">
              <w:t>tādējādi mazinot risku, ka atbalsts varētu pārmērīgi kropļot konkurenci</w:t>
            </w:r>
            <w:r w:rsidR="005D22CD" w:rsidRPr="00B36DA3">
              <w:t>. Lai nodrošināt</w:t>
            </w:r>
            <w:r w:rsidR="00C05EDF" w:rsidRPr="00B36DA3">
              <w:t>u šādu prasību ievērošanu likumā tiek atrunāts kompensāciju saņemšanas ierobežojums</w:t>
            </w:r>
            <w:r w:rsidR="00B36DA3">
              <w:t>.</w:t>
            </w:r>
          </w:p>
          <w:p w:rsidR="006C08A8" w:rsidRDefault="006C08A8" w:rsidP="006C08A8">
            <w:pPr>
              <w:jc w:val="both"/>
            </w:pPr>
          </w:p>
          <w:p w:rsidR="00A924AF" w:rsidRDefault="00163DA7" w:rsidP="005611E3">
            <w:pPr>
              <w:jc w:val="both"/>
            </w:pPr>
            <w:r>
              <w:t>7</w:t>
            </w:r>
            <w:r w:rsidR="00F1488C">
              <w:t>.</w:t>
            </w:r>
            <w:r w:rsidR="0001101B">
              <w:t>D</w:t>
            </w:r>
            <w:r w:rsidR="009157F6">
              <w:t>zēst 23.</w:t>
            </w:r>
            <w:r w:rsidR="005207EF">
              <w:t>panta pirmās daļas teikumu, tādējādi l</w:t>
            </w:r>
            <w:r w:rsidR="0026097D">
              <w:t>ikumprojekts</w:t>
            </w:r>
            <w:r w:rsidR="0001101B">
              <w:t xml:space="preserve"> </w:t>
            </w:r>
            <w:r w:rsidR="006C08A8">
              <w:t>vairs nenosaka, ka jebkurš beigts īpaši aizsargājamas sugas zīdītājs vai putns ir valsts īpašums un ka tas no</w:t>
            </w:r>
            <w:r w:rsidR="00A844FF">
              <w:t>d</w:t>
            </w:r>
            <w:r w:rsidR="006C6EF0">
              <w:t>odams „Latvijas Dabas muzejam”.</w:t>
            </w:r>
            <w:r w:rsidR="00186EFA">
              <w:t xml:space="preserve"> </w:t>
            </w:r>
            <w:r w:rsidR="00335C83">
              <w:t xml:space="preserve">Konkrētā </w:t>
            </w:r>
            <w:r w:rsidR="00335C83">
              <w:rPr>
                <w:sz w:val="22"/>
                <w:szCs w:val="22"/>
              </w:rPr>
              <w:t>l</w:t>
            </w:r>
            <w:r w:rsidR="00335C83" w:rsidRPr="00211AD2">
              <w:rPr>
                <w:sz w:val="22"/>
                <w:szCs w:val="22"/>
              </w:rPr>
              <w:t xml:space="preserve">ikuma norma uzliek par pienākumu </w:t>
            </w:r>
            <w:r w:rsidR="00335C83" w:rsidRPr="00F8475B">
              <w:t>jebkuram iedzīvotājiem, kas atrod beigtu roni, kurš var būt jau sadalīšanās stadijā, nogādāt to Latvijas Dabas muzejā, kas atrodas pilsētas centrā. Savukārt Latvijas Dabas muzejs ir spiests to tālāk nogādāt dzīvnieku kapsētā. Ņemot vērā, ka pēdējos gados roņu skaits ir palielinājies, Latvijas Dabas muzejam nav atbilstošas kapacitātes tālākai dzīvnieku apbedīšanas nodrošināšanai, kā arī no pilnīgi visiem dzīvniekiem izbāžņus izgatavot nav nepieciešams. Šāda beigto dzīvnieku pārvadāšana ir apgrūtinoša gan iedzīvotājiem, gan Latvijas Dabas muzejam, tādēļ tās nelietderības dēļ tiek mainīta.</w:t>
            </w:r>
            <w:r w:rsidR="00F8475B">
              <w:t xml:space="preserve"> </w:t>
            </w:r>
          </w:p>
          <w:p w:rsidR="00955933" w:rsidRDefault="00A924AF" w:rsidP="00885006">
            <w:pPr>
              <w:pStyle w:val="PlainText"/>
              <w:jc w:val="both"/>
              <w:rPr>
                <w:rFonts w:ascii="Times New Roman" w:hAnsi="Times New Roman"/>
                <w:sz w:val="24"/>
                <w:szCs w:val="24"/>
              </w:rPr>
            </w:pPr>
            <w:r w:rsidRPr="00F35EF1">
              <w:rPr>
                <w:rFonts w:ascii="Times New Roman" w:hAnsi="Times New Roman"/>
                <w:sz w:val="24"/>
                <w:szCs w:val="24"/>
              </w:rPr>
              <w:t>Mainīt</w:t>
            </w:r>
            <w:r w:rsidR="00885006">
              <w:rPr>
                <w:rFonts w:ascii="Times New Roman" w:hAnsi="Times New Roman"/>
                <w:sz w:val="24"/>
                <w:szCs w:val="24"/>
              </w:rPr>
              <w:t>ā</w:t>
            </w:r>
            <w:r w:rsidRPr="00F35EF1">
              <w:rPr>
                <w:rFonts w:ascii="Times New Roman" w:hAnsi="Times New Roman"/>
                <w:sz w:val="24"/>
                <w:szCs w:val="24"/>
              </w:rPr>
              <w:t xml:space="preserve"> 23.panta redakcija</w:t>
            </w:r>
            <w:r w:rsidR="00885006">
              <w:rPr>
                <w:rFonts w:ascii="Times New Roman" w:hAnsi="Times New Roman"/>
                <w:sz w:val="24"/>
                <w:szCs w:val="24"/>
              </w:rPr>
              <w:t xml:space="preserve"> sašaurina</w:t>
            </w:r>
            <w:r w:rsidRPr="00F35EF1">
              <w:rPr>
                <w:rFonts w:ascii="Times New Roman" w:hAnsi="Times New Roman"/>
                <w:sz w:val="24"/>
                <w:szCs w:val="24"/>
              </w:rPr>
              <w:t xml:space="preserve"> likuma normu par izbāžņu izgatavošanu</w:t>
            </w:r>
            <w:r w:rsidR="00885006">
              <w:rPr>
                <w:rFonts w:ascii="Times New Roman" w:hAnsi="Times New Roman"/>
                <w:sz w:val="24"/>
                <w:szCs w:val="24"/>
              </w:rPr>
              <w:t>,</w:t>
            </w:r>
            <w:r w:rsidRPr="00F35EF1">
              <w:rPr>
                <w:rFonts w:ascii="Times New Roman" w:hAnsi="Times New Roman"/>
                <w:sz w:val="24"/>
                <w:szCs w:val="24"/>
              </w:rPr>
              <w:t xml:space="preserve"> to attiecinot tikai uz īpaši aizsargājamu sugu dzīvniekiem.</w:t>
            </w:r>
            <w:r w:rsidR="00F35EF1" w:rsidRPr="00F35EF1">
              <w:rPr>
                <w:rFonts w:ascii="Times New Roman" w:hAnsi="Times New Roman"/>
                <w:sz w:val="24"/>
                <w:szCs w:val="24"/>
              </w:rPr>
              <w:t xml:space="preserve"> </w:t>
            </w:r>
            <w:r w:rsidR="0018327D">
              <w:rPr>
                <w:rFonts w:ascii="Times New Roman" w:hAnsi="Times New Roman"/>
                <w:sz w:val="24"/>
                <w:szCs w:val="24"/>
              </w:rPr>
              <w:t>Attiecībā</w:t>
            </w:r>
            <w:r w:rsidR="0018327D" w:rsidRPr="00F35EF1">
              <w:rPr>
                <w:rFonts w:ascii="Times New Roman" w:hAnsi="Times New Roman"/>
                <w:sz w:val="24"/>
                <w:szCs w:val="24"/>
              </w:rPr>
              <w:t xml:space="preserve"> uz pārējām nemedījamām sugām tad šo aspektu regulē Medību likums, kur noteikts, ka nemedījamās sugas drīkst iegūt tikai ar D</w:t>
            </w:r>
            <w:r w:rsidR="0018327D">
              <w:rPr>
                <w:rFonts w:ascii="Times New Roman" w:hAnsi="Times New Roman"/>
                <w:sz w:val="24"/>
                <w:szCs w:val="24"/>
              </w:rPr>
              <w:t xml:space="preserve">abas aizsardzības pārvaldes </w:t>
            </w:r>
            <w:r w:rsidR="0018327D" w:rsidRPr="00F35EF1">
              <w:rPr>
                <w:rFonts w:ascii="Times New Roman" w:hAnsi="Times New Roman"/>
                <w:sz w:val="24"/>
                <w:szCs w:val="24"/>
              </w:rPr>
              <w:t>atļauju, līdz a</w:t>
            </w:r>
            <w:r w:rsidR="0018327D">
              <w:rPr>
                <w:rFonts w:ascii="Times New Roman" w:hAnsi="Times New Roman"/>
                <w:sz w:val="24"/>
                <w:szCs w:val="24"/>
              </w:rPr>
              <w:t xml:space="preserve">r to, ja kāds izgatavos izbāzni, </w:t>
            </w:r>
            <w:r w:rsidR="0018327D" w:rsidRPr="00F35EF1">
              <w:rPr>
                <w:rFonts w:ascii="Times New Roman" w:hAnsi="Times New Roman"/>
                <w:sz w:val="24"/>
                <w:szCs w:val="24"/>
              </w:rPr>
              <w:t>piemēram</w:t>
            </w:r>
            <w:r w:rsidR="0018327D">
              <w:rPr>
                <w:rFonts w:ascii="Times New Roman" w:hAnsi="Times New Roman"/>
                <w:sz w:val="24"/>
                <w:szCs w:val="24"/>
              </w:rPr>
              <w:t xml:space="preserve">, </w:t>
            </w:r>
            <w:r w:rsidR="0018327D" w:rsidRPr="00F35EF1">
              <w:rPr>
                <w:rFonts w:ascii="Times New Roman" w:hAnsi="Times New Roman"/>
                <w:sz w:val="24"/>
                <w:szCs w:val="24"/>
              </w:rPr>
              <w:t>no vāveres, tam dzīvniekam arī ir jābūt legāli iegūtam.</w:t>
            </w:r>
            <w:r w:rsidR="0018327D">
              <w:rPr>
                <w:rFonts w:ascii="Times New Roman" w:hAnsi="Times New Roman"/>
                <w:sz w:val="24"/>
                <w:szCs w:val="24"/>
              </w:rPr>
              <w:t xml:space="preserve"> Turklāt l</w:t>
            </w:r>
            <w:r w:rsidR="00F35EF1">
              <w:rPr>
                <w:rFonts w:ascii="Times New Roman" w:hAnsi="Times New Roman"/>
                <w:sz w:val="24"/>
                <w:szCs w:val="24"/>
              </w:rPr>
              <w:t xml:space="preserve">ikuma </w:t>
            </w:r>
            <w:r w:rsidR="0018327D">
              <w:rPr>
                <w:rFonts w:ascii="Times New Roman" w:hAnsi="Times New Roman"/>
                <w:sz w:val="24"/>
                <w:szCs w:val="24"/>
              </w:rPr>
              <w:t>2.</w:t>
            </w:r>
            <w:r w:rsidR="00F35EF1" w:rsidRPr="00F35EF1">
              <w:rPr>
                <w:rFonts w:ascii="Times New Roman" w:hAnsi="Times New Roman"/>
                <w:sz w:val="24"/>
                <w:szCs w:val="24"/>
              </w:rPr>
              <w:t>panta 4.punktā norādīts</w:t>
            </w:r>
            <w:r w:rsidR="00F35EF1">
              <w:rPr>
                <w:rFonts w:ascii="Times New Roman" w:hAnsi="Times New Roman"/>
                <w:sz w:val="24"/>
                <w:szCs w:val="24"/>
              </w:rPr>
              <w:t>,</w:t>
            </w:r>
            <w:r w:rsidR="00F35EF1" w:rsidRPr="00F35EF1">
              <w:rPr>
                <w:rFonts w:ascii="Times New Roman" w:hAnsi="Times New Roman"/>
                <w:sz w:val="24"/>
                <w:szCs w:val="24"/>
              </w:rPr>
              <w:t xml:space="preserve"> ka likuma mērķis ir regulēt īpaši aizsargājamo sugu un biotopu noteikš</w:t>
            </w:r>
            <w:r w:rsidR="0018327D">
              <w:rPr>
                <w:rFonts w:ascii="Times New Roman" w:hAnsi="Times New Roman"/>
                <w:sz w:val="24"/>
                <w:szCs w:val="24"/>
              </w:rPr>
              <w:t>anas kārtību, līdz ar to jaunā</w:t>
            </w:r>
            <w:r w:rsidR="00A468D6">
              <w:rPr>
                <w:rFonts w:ascii="Times New Roman" w:hAnsi="Times New Roman"/>
                <w:sz w:val="24"/>
                <w:szCs w:val="24"/>
              </w:rPr>
              <w:t xml:space="preserve"> redakcija</w:t>
            </w:r>
            <w:r w:rsidR="00F35EF1" w:rsidRPr="00F35EF1">
              <w:rPr>
                <w:rFonts w:ascii="Times New Roman" w:hAnsi="Times New Roman"/>
                <w:sz w:val="24"/>
                <w:szCs w:val="24"/>
              </w:rPr>
              <w:t xml:space="preserve"> nomaina uz īpaši aizsargājamām sugām.</w:t>
            </w:r>
            <w:r w:rsidR="00F35EF1">
              <w:rPr>
                <w:rFonts w:ascii="Times New Roman" w:hAnsi="Times New Roman"/>
                <w:sz w:val="24"/>
                <w:szCs w:val="24"/>
              </w:rPr>
              <w:t xml:space="preserve"> </w:t>
            </w:r>
          </w:p>
          <w:p w:rsidR="00AC2050" w:rsidRDefault="00AC2050" w:rsidP="00AC2050">
            <w:pPr>
              <w:jc w:val="both"/>
              <w:rPr>
                <w:rFonts w:eastAsia="Calibri"/>
                <w:lang w:eastAsia="en-US"/>
              </w:rPr>
            </w:pPr>
          </w:p>
          <w:p w:rsidR="00120DF6" w:rsidRDefault="00AC2050" w:rsidP="00B36DA3">
            <w:pPr>
              <w:jc w:val="both"/>
            </w:pPr>
            <w:r w:rsidRPr="00B36DA3">
              <w:rPr>
                <w:rFonts w:eastAsia="Calibri"/>
                <w:lang w:eastAsia="en-US"/>
              </w:rPr>
              <w:t xml:space="preserve">8. Ņemot vērā, ka tiek izdarīti grozījumi 23.pantā attiecībā uz  </w:t>
            </w:r>
            <w:r w:rsidRPr="00B36DA3">
              <w:lastRenderedPageBreak/>
              <w:t xml:space="preserve">beigtu īpaši aizsargājamas sugas zīdītāju vai putnu nodošanu „Latvijas Dabas muzejam”, </w:t>
            </w:r>
            <w:r w:rsidRPr="00B36DA3">
              <w:rPr>
                <w:rFonts w:eastAsia="Calibri"/>
                <w:lang w:eastAsia="en-US"/>
              </w:rPr>
              <w:t xml:space="preserve">ka tiek grozīts likuma 22.pants, nosakot </w:t>
            </w:r>
            <w:r w:rsidRPr="00B36DA3">
              <w:t>regulējumu, ka Dabas aizsardzības pārvaldē tiek pieteikti visi īpaši aizsargājamie bojā gājušie dzīvnieki.</w:t>
            </w:r>
            <w:r w:rsidRPr="00AC2050">
              <w:t xml:space="preserve"> </w:t>
            </w:r>
          </w:p>
          <w:p w:rsidR="00A6154F" w:rsidRDefault="00A6154F" w:rsidP="00B36DA3">
            <w:pPr>
              <w:jc w:val="both"/>
            </w:pPr>
          </w:p>
          <w:p w:rsidR="00A6154F" w:rsidRDefault="00AC2050" w:rsidP="00A6154F">
            <w:pPr>
              <w:jc w:val="both"/>
            </w:pPr>
            <w:r>
              <w:t>9</w:t>
            </w:r>
            <w:r w:rsidR="00EB5542">
              <w:t xml:space="preserve">. </w:t>
            </w:r>
            <w:r w:rsidR="00B36DA3" w:rsidRPr="008254C6">
              <w:t xml:space="preserve">Pārejas noteikumi tiek papildināti </w:t>
            </w:r>
            <w:r w:rsidR="008960A3" w:rsidRPr="008254C6">
              <w:t>ar punktu, kas nosaka</w:t>
            </w:r>
            <w:r w:rsidR="00EB5542" w:rsidRPr="008254C6">
              <w:t>,</w:t>
            </w:r>
            <w:r w:rsidR="00B27296">
              <w:t xml:space="preserve"> ka</w:t>
            </w:r>
            <w:r w:rsidR="008254C6" w:rsidRPr="008254C6">
              <w:t xml:space="preserve"> likuma 10.panta pirmā</w:t>
            </w:r>
            <w:r w:rsidR="00A60B11">
              <w:t>s</w:t>
            </w:r>
            <w:r w:rsidR="008254C6" w:rsidRPr="008254C6">
              <w:t xml:space="preserve"> un trešā</w:t>
            </w:r>
            <w:r w:rsidR="00A60B11">
              <w:t>s</w:t>
            </w:r>
            <w:r w:rsidR="008254C6" w:rsidRPr="008254C6">
              <w:t xml:space="preserve"> daļa</w:t>
            </w:r>
            <w:r w:rsidR="00A60B11">
              <w:t>s</w:t>
            </w:r>
            <w:r w:rsidR="008254C6" w:rsidRPr="008254C6">
              <w:t xml:space="preserve"> </w:t>
            </w:r>
            <w:r w:rsidR="00A60B11">
              <w:t>groz</w:t>
            </w:r>
            <w:r w:rsidR="00A6154F">
              <w:t xml:space="preserve">ījumi, </w:t>
            </w:r>
            <w:r w:rsidR="00A6154F" w:rsidRPr="00A6154F">
              <w:t>kas paredz tiesības uz kompensāciju par īpaši aizsargājamo nemedījamo sugu un migrējošo sugu dzīvnieku nodarītiem būtiskiem postījumiem, ja ir veikti nepieciešamie aizsardzības pasākumi</w:t>
            </w:r>
            <w:r w:rsidR="00D361CE">
              <w:t xml:space="preserve"> </w:t>
            </w:r>
            <w:r w:rsidR="00D361CE" w:rsidRPr="00D361CE">
              <w:t>un ieviestas saudzīgas ekoloģiskas metodes</w:t>
            </w:r>
            <w:r w:rsidR="00D361CE">
              <w:t>,</w:t>
            </w:r>
            <w:r w:rsidR="00D361CE" w:rsidRPr="00D361CE">
              <w:t xml:space="preserve"> un tie</w:t>
            </w:r>
            <w:r w:rsidR="00D361CE">
              <w:t xml:space="preserve">sību uz kompensāciju zaudēšanu, </w:t>
            </w:r>
            <w:r w:rsidR="00A6154F" w:rsidRPr="00A6154F">
              <w:t>kā arī tiesības saņemt kompensāciju tikai no viena finansējuma avota</w:t>
            </w:r>
            <w:r w:rsidR="00A6154F" w:rsidRPr="00C668B4">
              <w:rPr>
                <w:sz w:val="28"/>
                <w:szCs w:val="28"/>
              </w:rPr>
              <w:t>,</w:t>
            </w:r>
            <w:r w:rsidR="00A6154F">
              <w:rPr>
                <w:sz w:val="28"/>
                <w:szCs w:val="28"/>
              </w:rPr>
              <w:t xml:space="preserve"> </w:t>
            </w:r>
            <w:r w:rsidR="008254C6" w:rsidRPr="008254C6">
              <w:t>stājas spēkā 2015.gada 1.oktobrī</w:t>
            </w:r>
            <w:r w:rsidR="008254C6">
              <w:t>.</w:t>
            </w:r>
          </w:p>
          <w:p w:rsidR="00A6154F" w:rsidRPr="00761E5A" w:rsidRDefault="00A6154F" w:rsidP="00A6154F">
            <w:pPr>
              <w:jc w:val="both"/>
              <w:rPr>
                <w:b/>
                <w:sz w:val="28"/>
                <w:szCs w:val="28"/>
              </w:rPr>
            </w:pPr>
            <w:r>
              <w:t>P</w:t>
            </w:r>
            <w:r w:rsidR="008254C6">
              <w:t>ārejas noteikumi tiek papildināti ar</w:t>
            </w:r>
            <w:r>
              <w:t>ī ar</w:t>
            </w:r>
            <w:r w:rsidR="008254C6">
              <w:t xml:space="preserve"> punktu, nosakot, ka </w:t>
            </w:r>
            <w:r w:rsidR="008960A3">
              <w:t xml:space="preserve">Ministru Kabinets izdod jaunus </w:t>
            </w:r>
            <w:r w:rsidR="00B36DA3">
              <w:t>šā l</w:t>
            </w:r>
            <w:r w:rsidR="008960A3">
              <w:t>ikuma 4.pa</w:t>
            </w:r>
            <w:r w:rsidR="00B36DA3">
              <w:t>nta 6.punktā minētos noteikumus līdz 2015.gada 1.oktobrim</w:t>
            </w:r>
            <w:r w:rsidR="008254C6">
              <w:t>.</w:t>
            </w:r>
            <w:r w:rsidR="00B36DA3">
              <w:t xml:space="preserve"> </w:t>
            </w:r>
            <w:r w:rsidRPr="00A6154F">
              <w:t>Līdz minēto Ministru kabineta noteikumu spēkā stāšanās dienai, piemērojami Ministru kabineta 2007.gada 20.novembra noteikumi Nr.778 „Kārtība, kādā zemes lietotājiem nosakāmi to zaudējumu apmēri, kas saistīti ar īpaši aizsargājamo nemedījamo sugu un migrējošo sugu dzīvnieku nodarītiem būtiskiem postījumiem.”</w:t>
            </w:r>
            <w:r>
              <w:t xml:space="preserve"> Likumprojektā paredzēti ierobežojumi</w:t>
            </w:r>
            <w:r w:rsidRPr="00B36DA3">
              <w:t xml:space="preserve"> uz kompensāciju par </w:t>
            </w:r>
            <w:r w:rsidR="00B27296" w:rsidRPr="00B36DA3">
              <w:t xml:space="preserve">zaudējumiem zemes īpašniekiem, </w:t>
            </w:r>
            <w:r w:rsidR="00B27296">
              <w:t xml:space="preserve">tādēļ tiek </w:t>
            </w:r>
            <w:r w:rsidR="00B27296" w:rsidRPr="00B36DA3">
              <w:t>noteikt</w:t>
            </w:r>
            <w:r w:rsidR="00B27296">
              <w:t>i pārejas noteikumi jaunā regulējuma piemērošanai.</w:t>
            </w:r>
            <w:r>
              <w:t xml:space="preserve"> </w:t>
            </w:r>
          </w:p>
          <w:p w:rsidR="00EB5542" w:rsidRDefault="00EB5542" w:rsidP="008254C6">
            <w:pPr>
              <w:tabs>
                <w:tab w:val="left" w:pos="1134"/>
              </w:tabs>
              <w:jc w:val="both"/>
            </w:pPr>
          </w:p>
          <w:p w:rsidR="00120DF6" w:rsidRPr="00FA5834" w:rsidRDefault="00120DF6" w:rsidP="008960A3">
            <w:pPr>
              <w:jc w:val="both"/>
            </w:pPr>
          </w:p>
        </w:tc>
      </w:tr>
      <w:tr w:rsidR="00647E32" w:rsidRPr="00FA5834" w:rsidTr="00BD0B63">
        <w:trPr>
          <w:trHeight w:val="476"/>
        </w:trPr>
        <w:tc>
          <w:tcPr>
            <w:tcW w:w="550" w:type="dxa"/>
          </w:tcPr>
          <w:p w:rsidR="00647E32" w:rsidRPr="00FA5834" w:rsidRDefault="006C08A8" w:rsidP="00BD0B63">
            <w:pPr>
              <w:pStyle w:val="naiskr"/>
              <w:spacing w:before="0" w:after="0"/>
              <w:ind w:right="71"/>
            </w:pPr>
            <w:r>
              <w:lastRenderedPageBreak/>
              <w:t>3</w:t>
            </w:r>
            <w:r w:rsidR="00647E32" w:rsidRPr="00FA5834">
              <w:t>.</w:t>
            </w:r>
          </w:p>
        </w:tc>
        <w:tc>
          <w:tcPr>
            <w:tcW w:w="2155" w:type="dxa"/>
          </w:tcPr>
          <w:p w:rsidR="00647E32" w:rsidRPr="00FA5834" w:rsidRDefault="00647E32" w:rsidP="00BD0B63">
            <w:pPr>
              <w:pStyle w:val="naiskr"/>
              <w:spacing w:before="0" w:after="0"/>
              <w:ind w:right="71"/>
            </w:pPr>
            <w:r w:rsidRPr="00FA5834">
              <w:t>Projekta izstrādē iesaistītās institūcijas</w:t>
            </w:r>
          </w:p>
        </w:tc>
        <w:tc>
          <w:tcPr>
            <w:tcW w:w="6300" w:type="dxa"/>
          </w:tcPr>
          <w:p w:rsidR="00647E32" w:rsidRPr="00FA5834" w:rsidRDefault="00647E32" w:rsidP="00BD0B63">
            <w:pPr>
              <w:pStyle w:val="naiskr"/>
              <w:spacing w:before="0" w:after="0"/>
              <w:ind w:right="71"/>
            </w:pPr>
            <w:r w:rsidRPr="00FA5834">
              <w:t>Vides aizsardzības un reģionālās attīstības ministrija</w:t>
            </w:r>
          </w:p>
          <w:p w:rsidR="00647E32" w:rsidRPr="00FA5834" w:rsidRDefault="006C08A8" w:rsidP="00BD0B63">
            <w:pPr>
              <w:pStyle w:val="naiskr"/>
              <w:spacing w:before="0" w:after="0"/>
              <w:ind w:right="71"/>
            </w:pPr>
            <w:r>
              <w:t>Dabas aizsardzības pārvalde</w:t>
            </w:r>
          </w:p>
        </w:tc>
      </w:tr>
      <w:tr w:rsidR="00647E32" w:rsidRPr="00FA5834" w:rsidTr="00BD0B63">
        <w:trPr>
          <w:trHeight w:val="437"/>
        </w:trPr>
        <w:tc>
          <w:tcPr>
            <w:tcW w:w="550" w:type="dxa"/>
          </w:tcPr>
          <w:p w:rsidR="00647E32" w:rsidRPr="00FA5834" w:rsidRDefault="00C206A9" w:rsidP="00BD0B63">
            <w:pPr>
              <w:pStyle w:val="naiskr"/>
              <w:spacing w:before="0" w:after="0"/>
              <w:ind w:right="71"/>
            </w:pPr>
            <w:r>
              <w:t>4</w:t>
            </w:r>
            <w:r w:rsidR="00647E32" w:rsidRPr="00FA5834">
              <w:t>.</w:t>
            </w:r>
          </w:p>
        </w:tc>
        <w:tc>
          <w:tcPr>
            <w:tcW w:w="2155" w:type="dxa"/>
          </w:tcPr>
          <w:p w:rsidR="00647E32" w:rsidRPr="00FA5834" w:rsidRDefault="00647E32" w:rsidP="00BD0B63">
            <w:pPr>
              <w:pStyle w:val="naiskr"/>
              <w:spacing w:before="0" w:after="0"/>
              <w:ind w:right="71"/>
            </w:pPr>
            <w:r w:rsidRPr="00FA5834">
              <w:t>Cita informācija</w:t>
            </w:r>
          </w:p>
        </w:tc>
        <w:tc>
          <w:tcPr>
            <w:tcW w:w="6300" w:type="dxa"/>
          </w:tcPr>
          <w:p w:rsidR="00647E32" w:rsidRPr="00FA5834" w:rsidRDefault="00647E32" w:rsidP="00BD0B63">
            <w:pPr>
              <w:pStyle w:val="naiskr"/>
              <w:spacing w:before="0" w:after="0"/>
              <w:ind w:right="71"/>
            </w:pPr>
            <w:r w:rsidRPr="00FA5834">
              <w:t>Nav</w:t>
            </w:r>
          </w:p>
        </w:tc>
      </w:tr>
    </w:tbl>
    <w:p w:rsidR="00DC389A" w:rsidRPr="00FA5834" w:rsidRDefault="00DC389A" w:rsidP="007C32E6">
      <w:pPr>
        <w:pStyle w:val="naisf"/>
        <w:spacing w:before="0" w:after="0"/>
        <w:ind w:right="71" w:firstLine="0"/>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1"/>
        <w:gridCol w:w="2502"/>
        <w:gridCol w:w="6057"/>
      </w:tblGrid>
      <w:tr w:rsidR="00DC389A" w:rsidRPr="00FA5834" w:rsidTr="00BD0B63">
        <w:tc>
          <w:tcPr>
            <w:tcW w:w="9000" w:type="dxa"/>
            <w:gridSpan w:val="3"/>
            <w:vAlign w:val="center"/>
          </w:tcPr>
          <w:p w:rsidR="00DC389A" w:rsidRPr="00FA5834" w:rsidRDefault="00DC389A" w:rsidP="00BD0B63">
            <w:pPr>
              <w:pStyle w:val="naisnod"/>
              <w:spacing w:before="0" w:after="0"/>
              <w:ind w:right="71"/>
            </w:pPr>
            <w:r w:rsidRPr="00FA5834">
              <w:t>II. Tiesību akta projekta ietekme uz sabiedrību</w:t>
            </w:r>
          </w:p>
        </w:tc>
      </w:tr>
      <w:tr w:rsidR="00DC389A" w:rsidRPr="00FA5834" w:rsidTr="00BD0B63">
        <w:trPr>
          <w:trHeight w:val="467"/>
        </w:trPr>
        <w:tc>
          <w:tcPr>
            <w:tcW w:w="441" w:type="dxa"/>
          </w:tcPr>
          <w:p w:rsidR="00DC389A" w:rsidRPr="00FA5834" w:rsidRDefault="00DC389A" w:rsidP="00BD0B63">
            <w:pPr>
              <w:pStyle w:val="naiskr"/>
              <w:spacing w:before="0" w:after="0"/>
              <w:ind w:right="71"/>
            </w:pPr>
            <w:r w:rsidRPr="00FA5834">
              <w:t>1.</w:t>
            </w:r>
          </w:p>
        </w:tc>
        <w:tc>
          <w:tcPr>
            <w:tcW w:w="2502" w:type="dxa"/>
          </w:tcPr>
          <w:p w:rsidR="00DC389A" w:rsidRPr="00FA5834" w:rsidRDefault="001760B2" w:rsidP="00BD0B63">
            <w:pPr>
              <w:pStyle w:val="naiskr"/>
              <w:spacing w:before="0" w:after="0"/>
              <w:ind w:right="71"/>
            </w:pPr>
            <w:r>
              <w:t>Sabiedrības mērķgrupas, kuras tiesiskais regulējums ietekmē vai varētu ietekmēt</w:t>
            </w:r>
          </w:p>
        </w:tc>
        <w:tc>
          <w:tcPr>
            <w:tcW w:w="6057" w:type="dxa"/>
          </w:tcPr>
          <w:p w:rsidR="00DC389A" w:rsidRPr="00FA5834" w:rsidRDefault="00DC389A" w:rsidP="000B41E1">
            <w:pPr>
              <w:pStyle w:val="Default"/>
              <w:ind w:right="74"/>
              <w:jc w:val="both"/>
              <w:rPr>
                <w:iCs/>
              </w:rPr>
            </w:pPr>
            <w:r w:rsidRPr="00FA5834">
              <w:rPr>
                <w:iCs/>
              </w:rPr>
              <w:t xml:space="preserve">Likumprojekts tiešā veidā </w:t>
            </w:r>
            <w:r w:rsidR="00927A73">
              <w:rPr>
                <w:iCs/>
              </w:rPr>
              <w:t>skar tos zemes īpašniekus, kuru</w:t>
            </w:r>
            <w:r w:rsidR="00641BBD" w:rsidRPr="00FA5834">
              <w:rPr>
                <w:iCs/>
              </w:rPr>
              <w:t xml:space="preserve"> darbība </w:t>
            </w:r>
            <w:r w:rsidR="00DE4A2F">
              <w:t>(</w:t>
            </w:r>
            <w:r w:rsidR="00641BBD" w:rsidRPr="00FA5834">
              <w:t>augkopība, akvaku</w:t>
            </w:r>
            <w:r w:rsidR="00927A73">
              <w:t>ltūra, lopkopība vai biškopība)</w:t>
            </w:r>
            <w:r w:rsidR="00641BBD" w:rsidRPr="00FA5834">
              <w:rPr>
                <w:iCs/>
              </w:rPr>
              <w:t xml:space="preserve"> var tikt ietekmēta no </w:t>
            </w:r>
            <w:r w:rsidR="00641BBD" w:rsidRPr="00FA5834">
              <w:t xml:space="preserve">īpaši aizsargājamo nemedījamo sugu un migrējošo sugu dzīvnieku būtiskiem postījumiem. </w:t>
            </w:r>
          </w:p>
          <w:p w:rsidR="00DC389A" w:rsidRPr="00FA5834" w:rsidRDefault="00DC389A" w:rsidP="00BD0B63">
            <w:pPr>
              <w:ind w:right="71" w:firstLine="360"/>
              <w:jc w:val="both"/>
            </w:pPr>
          </w:p>
        </w:tc>
      </w:tr>
      <w:tr w:rsidR="00DC389A" w:rsidRPr="00FA5834" w:rsidTr="00BD0B63">
        <w:trPr>
          <w:trHeight w:val="517"/>
        </w:trPr>
        <w:tc>
          <w:tcPr>
            <w:tcW w:w="441" w:type="dxa"/>
          </w:tcPr>
          <w:p w:rsidR="00DC389A" w:rsidRPr="00FA5834" w:rsidRDefault="00DE4A2F" w:rsidP="00BD0B63">
            <w:pPr>
              <w:pStyle w:val="naislab"/>
              <w:spacing w:before="0" w:after="0"/>
              <w:ind w:right="71"/>
            </w:pPr>
            <w:r>
              <w:t>2</w:t>
            </w:r>
            <w:r w:rsidR="00DC389A" w:rsidRPr="00FA5834">
              <w:t>.</w:t>
            </w:r>
          </w:p>
        </w:tc>
        <w:tc>
          <w:tcPr>
            <w:tcW w:w="2502" w:type="dxa"/>
          </w:tcPr>
          <w:p w:rsidR="00DC389A" w:rsidRPr="00FA5834" w:rsidRDefault="001760B2" w:rsidP="001760B2">
            <w:pPr>
              <w:pStyle w:val="naislab"/>
              <w:spacing w:before="0" w:after="0"/>
              <w:ind w:right="71"/>
              <w:jc w:val="left"/>
            </w:pPr>
            <w:r>
              <w:t>Tiesiskā regulējuma ietekme uz tautsaimniecību un administratīvo slogu</w:t>
            </w:r>
          </w:p>
        </w:tc>
        <w:tc>
          <w:tcPr>
            <w:tcW w:w="6057" w:type="dxa"/>
          </w:tcPr>
          <w:p w:rsidR="00DC389A" w:rsidRPr="00FA5834" w:rsidRDefault="00AC54FD" w:rsidP="00050566">
            <w:pPr>
              <w:ind w:right="71"/>
              <w:jc w:val="both"/>
            </w:pPr>
            <w:r w:rsidRPr="00FA5834">
              <w:t>Ja grozījumi Sugu un biotopu aizsardzības likumā netiek izdarīti, kompensācijām par īpaši aizsargājamo nemedījamo sugu un migrējošo sugu dzīvnieku nodarītajiem būtiskiem postījumiem 201</w:t>
            </w:r>
            <w:r w:rsidR="00E3494E">
              <w:t>5</w:t>
            </w:r>
            <w:r w:rsidR="009157F6">
              <w:t>.</w:t>
            </w:r>
            <w:r w:rsidRPr="00FA5834">
              <w:t xml:space="preserve">gadā </w:t>
            </w:r>
            <w:r w:rsidR="00050566">
              <w:t xml:space="preserve">būs </w:t>
            </w:r>
            <w:r w:rsidRPr="00FA5834">
              <w:t xml:space="preserve">nepieciešami </w:t>
            </w:r>
            <w:r w:rsidR="00050566">
              <w:t xml:space="preserve">atsevišķi </w:t>
            </w:r>
            <w:r w:rsidRPr="00050566">
              <w:t>finanšu līdzekļi</w:t>
            </w:r>
            <w:r w:rsidR="00050566">
              <w:t>.</w:t>
            </w:r>
            <w:r w:rsidRPr="00050566">
              <w:t xml:space="preserve"> </w:t>
            </w:r>
          </w:p>
        </w:tc>
      </w:tr>
      <w:tr w:rsidR="00DC389A" w:rsidRPr="00FA5834" w:rsidTr="00BD0B63">
        <w:trPr>
          <w:trHeight w:val="357"/>
        </w:trPr>
        <w:tc>
          <w:tcPr>
            <w:tcW w:w="441" w:type="dxa"/>
          </w:tcPr>
          <w:p w:rsidR="00DC389A" w:rsidRPr="00FA5834" w:rsidRDefault="004E7A26" w:rsidP="00BD0B63">
            <w:pPr>
              <w:pStyle w:val="naiskr"/>
              <w:spacing w:before="0" w:after="0"/>
              <w:ind w:right="71"/>
            </w:pPr>
            <w:r>
              <w:t>3</w:t>
            </w:r>
            <w:r w:rsidR="00DC389A" w:rsidRPr="00FA5834">
              <w:t>.</w:t>
            </w:r>
          </w:p>
        </w:tc>
        <w:tc>
          <w:tcPr>
            <w:tcW w:w="2502" w:type="dxa"/>
          </w:tcPr>
          <w:p w:rsidR="00DC389A" w:rsidRPr="00FA5834" w:rsidRDefault="00DC389A" w:rsidP="00BD0B63">
            <w:pPr>
              <w:pStyle w:val="naiskr"/>
              <w:spacing w:before="0" w:after="0"/>
              <w:ind w:right="71"/>
            </w:pPr>
            <w:r w:rsidRPr="00FA5834">
              <w:t>Administratīvo izmaksu monetārs novērtējums</w:t>
            </w:r>
          </w:p>
        </w:tc>
        <w:tc>
          <w:tcPr>
            <w:tcW w:w="6057" w:type="dxa"/>
          </w:tcPr>
          <w:p w:rsidR="00DC389A" w:rsidRPr="00FA5834" w:rsidRDefault="00DC389A" w:rsidP="00BD0B63">
            <w:pPr>
              <w:pStyle w:val="NormalWeb"/>
              <w:ind w:right="71"/>
              <w:jc w:val="both"/>
              <w:rPr>
                <w:i/>
                <w:iCs/>
              </w:rPr>
            </w:pPr>
            <w:r w:rsidRPr="00FA5834">
              <w:rPr>
                <w:iCs/>
              </w:rPr>
              <w:t>Projekts šo jomu neskar</w:t>
            </w:r>
            <w:r w:rsidRPr="00FA5834">
              <w:rPr>
                <w:i/>
                <w:iCs/>
              </w:rPr>
              <w:t>.</w:t>
            </w:r>
          </w:p>
          <w:p w:rsidR="00DC389A" w:rsidRPr="00FA5834" w:rsidRDefault="00DC389A" w:rsidP="00BD0B63">
            <w:pPr>
              <w:pStyle w:val="naiskr"/>
              <w:spacing w:before="0" w:after="0"/>
              <w:ind w:right="71"/>
            </w:pPr>
          </w:p>
        </w:tc>
      </w:tr>
      <w:tr w:rsidR="00DC389A" w:rsidRPr="00FA5834" w:rsidTr="00BD0B63">
        <w:tc>
          <w:tcPr>
            <w:tcW w:w="441" w:type="dxa"/>
          </w:tcPr>
          <w:p w:rsidR="00DC389A" w:rsidRPr="00FA5834" w:rsidRDefault="004E7A26" w:rsidP="00BD0B63">
            <w:pPr>
              <w:pStyle w:val="naiskr"/>
              <w:spacing w:before="0" w:after="0"/>
              <w:ind w:right="71"/>
            </w:pPr>
            <w:r>
              <w:t>4</w:t>
            </w:r>
            <w:r w:rsidR="00DC389A" w:rsidRPr="00FA5834">
              <w:t>.</w:t>
            </w:r>
          </w:p>
        </w:tc>
        <w:tc>
          <w:tcPr>
            <w:tcW w:w="2502" w:type="dxa"/>
          </w:tcPr>
          <w:p w:rsidR="00DC389A" w:rsidRPr="00FA5834" w:rsidRDefault="00DC389A" w:rsidP="00BD0B63">
            <w:pPr>
              <w:pStyle w:val="naiskr"/>
              <w:spacing w:before="0" w:after="0"/>
              <w:ind w:right="71"/>
            </w:pPr>
            <w:r w:rsidRPr="00FA5834">
              <w:t>Cita informācija</w:t>
            </w:r>
          </w:p>
        </w:tc>
        <w:tc>
          <w:tcPr>
            <w:tcW w:w="6057" w:type="dxa"/>
          </w:tcPr>
          <w:p w:rsidR="00DC389A" w:rsidRPr="00FA5834" w:rsidRDefault="004E7A26" w:rsidP="00BD0B63">
            <w:pPr>
              <w:pStyle w:val="naiskr"/>
              <w:spacing w:before="0" w:after="0"/>
              <w:ind w:right="71"/>
              <w:jc w:val="both"/>
            </w:pPr>
            <w:r w:rsidRPr="00FA5834">
              <w:rPr>
                <w:iCs/>
              </w:rPr>
              <w:t>Bioloģiskās daudzveidības saglabāšana ir viens no</w:t>
            </w:r>
            <w:r w:rsidRPr="00FA5834">
              <w:t xml:space="preserve"> </w:t>
            </w:r>
            <w:r w:rsidRPr="00FA5834">
              <w:rPr>
                <w:iCs/>
              </w:rPr>
              <w:t xml:space="preserve">pamatnosacījumiem cilvēku labklājības nodrošināšanai un ekonomisko aktivitāšu pastāvēšanai. Īpaši aizsargājamās </w:t>
            </w:r>
            <w:r w:rsidRPr="00FA5834">
              <w:rPr>
                <w:iCs/>
              </w:rPr>
              <w:lastRenderedPageBreak/>
              <w:t>sugas tiek aizsargātas visas sa</w:t>
            </w:r>
            <w:r w:rsidR="005F4749">
              <w:rPr>
                <w:iCs/>
              </w:rPr>
              <w:t xml:space="preserve">biedrības interesēs līdz ar to </w:t>
            </w:r>
            <w:r w:rsidRPr="00FA5834">
              <w:rPr>
                <w:iCs/>
              </w:rPr>
              <w:t>ir būtiski saglabāt kompensāciju sistēmu, lai novērstu zemes īpašnieku un sabiedr</w:t>
            </w:r>
            <w:r w:rsidR="005F4749">
              <w:rPr>
                <w:iCs/>
              </w:rPr>
              <w:t>ības kopumā neapmierinātību par</w:t>
            </w:r>
            <w:r w:rsidR="009E1E82">
              <w:rPr>
                <w:iCs/>
              </w:rPr>
              <w:t xml:space="preserve"> īpaši aizsargājamo nemedījamo </w:t>
            </w:r>
            <w:r w:rsidRPr="00FA5834">
              <w:rPr>
                <w:iCs/>
              </w:rPr>
              <w:t>sugu noda</w:t>
            </w:r>
            <w:r w:rsidR="009E1E82">
              <w:rPr>
                <w:iCs/>
              </w:rPr>
              <w:t xml:space="preserve">rītajiem postījumiem (piemēram, </w:t>
            </w:r>
            <w:r w:rsidRPr="00FA5834">
              <w:rPr>
                <w:iCs/>
              </w:rPr>
              <w:t>lauksaimniecībai, akvakultūr</w:t>
            </w:r>
            <w:r w:rsidR="00404A9D">
              <w:rPr>
                <w:iCs/>
              </w:rPr>
              <w:t xml:space="preserve">ai), kuri </w:t>
            </w:r>
            <w:r w:rsidRPr="00FA5834">
              <w:rPr>
                <w:iCs/>
              </w:rPr>
              <w:t>netiek attiecīgi kompensēti.</w:t>
            </w:r>
          </w:p>
        </w:tc>
      </w:tr>
    </w:tbl>
    <w:p w:rsidR="00B47E53" w:rsidRDefault="00B47E53" w:rsidP="007C32E6">
      <w:pPr>
        <w:pStyle w:val="naisf"/>
        <w:spacing w:before="0" w:after="0"/>
        <w:ind w:right="71" w:firstLine="0"/>
      </w:pPr>
    </w:p>
    <w:p w:rsidR="00B47E53" w:rsidRPr="00FA5834" w:rsidRDefault="00B47E53" w:rsidP="007C32E6">
      <w:pPr>
        <w:pStyle w:val="naisf"/>
        <w:spacing w:before="0" w:after="0"/>
        <w:ind w:right="71" w:firstLine="0"/>
      </w:pPr>
    </w:p>
    <w:tbl>
      <w:tblPr>
        <w:tblW w:w="9073" w:type="dxa"/>
        <w:jc w:val="center"/>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1354"/>
        <w:gridCol w:w="1424"/>
        <w:gridCol w:w="1423"/>
        <w:gridCol w:w="1423"/>
        <w:gridCol w:w="1233"/>
      </w:tblGrid>
      <w:tr w:rsidR="00EF363F" w:rsidRPr="00FA5834" w:rsidTr="00BD0B63">
        <w:trPr>
          <w:trHeight w:val="652"/>
          <w:jc w:val="center"/>
        </w:trPr>
        <w:tc>
          <w:tcPr>
            <w:tcW w:w="9073" w:type="dxa"/>
            <w:gridSpan w:val="6"/>
          </w:tcPr>
          <w:p w:rsidR="00EF363F" w:rsidRPr="00FA5834" w:rsidRDefault="00EF363F" w:rsidP="00BD0B63">
            <w:pPr>
              <w:pStyle w:val="naisnod"/>
              <w:spacing w:before="0" w:after="0"/>
              <w:ind w:right="71"/>
              <w:rPr>
                <w:i/>
              </w:rPr>
            </w:pPr>
            <w:r w:rsidRPr="00FA5834">
              <w:br w:type="page"/>
              <w:t>III. Tiesību akta projekta ietekme uz valsts budžetu un pašvaldību budžetiem</w:t>
            </w:r>
          </w:p>
        </w:tc>
      </w:tr>
      <w:tr w:rsidR="00EF363F" w:rsidRPr="00FA5834" w:rsidTr="00BD0B63">
        <w:trPr>
          <w:jc w:val="center"/>
        </w:trPr>
        <w:tc>
          <w:tcPr>
            <w:tcW w:w="2216" w:type="dxa"/>
            <w:vMerge w:val="restart"/>
            <w:vAlign w:val="center"/>
          </w:tcPr>
          <w:p w:rsidR="00EF363F" w:rsidRPr="00FA5834" w:rsidRDefault="00EF363F" w:rsidP="00BD0B63">
            <w:pPr>
              <w:pStyle w:val="naisf"/>
              <w:spacing w:before="0" w:after="0"/>
              <w:ind w:right="71" w:firstLine="0"/>
              <w:jc w:val="center"/>
              <w:rPr>
                <w:b/>
              </w:rPr>
            </w:pPr>
            <w:r w:rsidRPr="00FA5834">
              <w:rPr>
                <w:b/>
              </w:rPr>
              <w:t>Rādītāji</w:t>
            </w:r>
          </w:p>
        </w:tc>
        <w:tc>
          <w:tcPr>
            <w:tcW w:w="2778" w:type="dxa"/>
            <w:gridSpan w:val="2"/>
            <w:vMerge w:val="restart"/>
            <w:vAlign w:val="center"/>
          </w:tcPr>
          <w:p w:rsidR="00EF363F" w:rsidRPr="00FA5834" w:rsidRDefault="00EF363F" w:rsidP="00E3494E">
            <w:pPr>
              <w:pStyle w:val="naisf"/>
              <w:spacing w:before="0" w:after="0"/>
              <w:ind w:right="71" w:firstLine="0"/>
              <w:jc w:val="center"/>
              <w:rPr>
                <w:b/>
              </w:rPr>
            </w:pPr>
            <w:r w:rsidRPr="00FA5834">
              <w:rPr>
                <w:b/>
              </w:rPr>
              <w:t>201</w:t>
            </w:r>
            <w:r w:rsidR="00971C1F">
              <w:rPr>
                <w:b/>
              </w:rPr>
              <w:t>5</w:t>
            </w:r>
            <w:r w:rsidRPr="00FA5834">
              <w:rPr>
                <w:b/>
              </w:rPr>
              <w:t>.gads</w:t>
            </w:r>
          </w:p>
        </w:tc>
        <w:tc>
          <w:tcPr>
            <w:tcW w:w="4079" w:type="dxa"/>
            <w:gridSpan w:val="3"/>
            <w:vAlign w:val="center"/>
          </w:tcPr>
          <w:p w:rsidR="00EF363F" w:rsidRPr="00FA5834" w:rsidRDefault="00D4597B" w:rsidP="00C20963">
            <w:pPr>
              <w:pStyle w:val="naisf"/>
              <w:spacing w:before="0" w:after="0"/>
              <w:ind w:right="71" w:firstLine="0"/>
              <w:jc w:val="center"/>
              <w:rPr>
                <w:b/>
                <w:i/>
              </w:rPr>
            </w:pPr>
            <w:r>
              <w:t>Turpmākie trīs gadi (</w:t>
            </w:r>
            <w:r w:rsidRPr="00885006">
              <w:rPr>
                <w:i/>
              </w:rPr>
              <w:t>euro</w:t>
            </w:r>
            <w:r w:rsidR="00EF363F" w:rsidRPr="00FA5834">
              <w:t>)</w:t>
            </w:r>
          </w:p>
        </w:tc>
      </w:tr>
      <w:tr w:rsidR="00EF363F" w:rsidRPr="00FA5834" w:rsidTr="00BD0B63">
        <w:trPr>
          <w:jc w:val="center"/>
        </w:trPr>
        <w:tc>
          <w:tcPr>
            <w:tcW w:w="2216" w:type="dxa"/>
            <w:vMerge/>
            <w:vAlign w:val="center"/>
          </w:tcPr>
          <w:p w:rsidR="00EF363F" w:rsidRPr="00FA5834" w:rsidRDefault="00EF363F" w:rsidP="00BD0B63">
            <w:pPr>
              <w:pStyle w:val="naisf"/>
              <w:spacing w:before="0" w:after="0"/>
              <w:ind w:right="71" w:firstLine="0"/>
              <w:jc w:val="center"/>
              <w:rPr>
                <w:b/>
                <w:i/>
              </w:rPr>
            </w:pPr>
          </w:p>
        </w:tc>
        <w:tc>
          <w:tcPr>
            <w:tcW w:w="2778" w:type="dxa"/>
            <w:gridSpan w:val="2"/>
            <w:vMerge/>
            <w:vAlign w:val="center"/>
          </w:tcPr>
          <w:p w:rsidR="00EF363F" w:rsidRPr="00FA5834" w:rsidRDefault="00EF363F" w:rsidP="00BD0B63">
            <w:pPr>
              <w:pStyle w:val="naisf"/>
              <w:spacing w:before="0" w:after="0"/>
              <w:ind w:right="71" w:firstLine="0"/>
              <w:jc w:val="center"/>
              <w:rPr>
                <w:b/>
                <w:i/>
              </w:rPr>
            </w:pPr>
          </w:p>
        </w:tc>
        <w:tc>
          <w:tcPr>
            <w:tcW w:w="1423" w:type="dxa"/>
            <w:vAlign w:val="center"/>
          </w:tcPr>
          <w:p w:rsidR="00EF363F" w:rsidRPr="00FA5834" w:rsidRDefault="00EF363F" w:rsidP="00E3494E">
            <w:pPr>
              <w:pStyle w:val="naisf"/>
              <w:spacing w:before="0" w:after="0"/>
              <w:ind w:right="71" w:firstLine="0"/>
              <w:jc w:val="center"/>
              <w:rPr>
                <w:b/>
                <w:i/>
              </w:rPr>
            </w:pPr>
            <w:r w:rsidRPr="00FA5834">
              <w:rPr>
                <w:b/>
                <w:bCs/>
              </w:rPr>
              <w:t>201</w:t>
            </w:r>
            <w:r w:rsidR="00971C1F">
              <w:rPr>
                <w:b/>
                <w:bCs/>
              </w:rPr>
              <w:t>6</w:t>
            </w:r>
          </w:p>
        </w:tc>
        <w:tc>
          <w:tcPr>
            <w:tcW w:w="1423" w:type="dxa"/>
            <w:vAlign w:val="center"/>
          </w:tcPr>
          <w:p w:rsidR="00EF363F" w:rsidRPr="00FA5834" w:rsidRDefault="00EF363F" w:rsidP="00BD0B63">
            <w:pPr>
              <w:pStyle w:val="naisf"/>
              <w:spacing w:before="0" w:after="0"/>
              <w:ind w:right="71" w:firstLine="0"/>
              <w:jc w:val="center"/>
              <w:rPr>
                <w:b/>
                <w:i/>
              </w:rPr>
            </w:pPr>
            <w:r w:rsidRPr="00FA5834">
              <w:rPr>
                <w:b/>
                <w:bCs/>
              </w:rPr>
              <w:t>201</w:t>
            </w:r>
            <w:r w:rsidR="00971C1F">
              <w:rPr>
                <w:b/>
                <w:bCs/>
              </w:rPr>
              <w:t>7</w:t>
            </w:r>
          </w:p>
        </w:tc>
        <w:tc>
          <w:tcPr>
            <w:tcW w:w="1233" w:type="dxa"/>
            <w:vAlign w:val="center"/>
          </w:tcPr>
          <w:p w:rsidR="00EF363F" w:rsidRPr="00FA5834" w:rsidRDefault="00EF363F" w:rsidP="00E3494E">
            <w:pPr>
              <w:pStyle w:val="naisf"/>
              <w:spacing w:before="0" w:after="0"/>
              <w:ind w:right="71" w:firstLine="0"/>
              <w:jc w:val="center"/>
              <w:rPr>
                <w:b/>
                <w:i/>
              </w:rPr>
            </w:pPr>
            <w:r w:rsidRPr="00FA5834">
              <w:rPr>
                <w:b/>
                <w:bCs/>
              </w:rPr>
              <w:t>201</w:t>
            </w:r>
            <w:r w:rsidR="00971C1F">
              <w:rPr>
                <w:b/>
                <w:bCs/>
              </w:rPr>
              <w:t>8</w:t>
            </w:r>
          </w:p>
        </w:tc>
      </w:tr>
      <w:tr w:rsidR="00EF363F" w:rsidRPr="00FA5834" w:rsidTr="00BD0B63">
        <w:trPr>
          <w:jc w:val="center"/>
        </w:trPr>
        <w:tc>
          <w:tcPr>
            <w:tcW w:w="2216" w:type="dxa"/>
            <w:vMerge/>
            <w:vAlign w:val="center"/>
          </w:tcPr>
          <w:p w:rsidR="00EF363F" w:rsidRPr="00FA5834" w:rsidRDefault="00EF363F" w:rsidP="00BD0B63">
            <w:pPr>
              <w:pStyle w:val="naisf"/>
              <w:spacing w:before="0" w:after="0"/>
              <w:ind w:right="71" w:firstLine="0"/>
              <w:jc w:val="center"/>
              <w:rPr>
                <w:b/>
                <w:i/>
              </w:rPr>
            </w:pPr>
          </w:p>
        </w:tc>
        <w:tc>
          <w:tcPr>
            <w:tcW w:w="1354" w:type="dxa"/>
            <w:vAlign w:val="center"/>
          </w:tcPr>
          <w:p w:rsidR="00EF363F" w:rsidRPr="00FA5834" w:rsidRDefault="00EF363F" w:rsidP="00BD0B63">
            <w:pPr>
              <w:pStyle w:val="naisf"/>
              <w:spacing w:before="0" w:after="0"/>
              <w:ind w:right="71" w:firstLine="0"/>
              <w:jc w:val="center"/>
              <w:rPr>
                <w:b/>
                <w:i/>
              </w:rPr>
            </w:pPr>
            <w:r w:rsidRPr="00FA5834">
              <w:t>Saskaņā ar valsts budžetu kārtējam gadam</w:t>
            </w:r>
          </w:p>
        </w:tc>
        <w:tc>
          <w:tcPr>
            <w:tcW w:w="1424" w:type="dxa"/>
            <w:vAlign w:val="center"/>
          </w:tcPr>
          <w:p w:rsidR="00EF363F" w:rsidRPr="00FA5834" w:rsidRDefault="00EF363F" w:rsidP="00BD0B63">
            <w:pPr>
              <w:pStyle w:val="naisf"/>
              <w:spacing w:before="0" w:after="0"/>
              <w:ind w:right="71" w:firstLine="0"/>
              <w:jc w:val="center"/>
              <w:rPr>
                <w:b/>
                <w:i/>
              </w:rPr>
            </w:pPr>
            <w:r w:rsidRPr="00FA5834">
              <w:t>Izmaiņas kārtējā gadā, salīdzinot ar budžetu kārtējam gadam</w:t>
            </w:r>
          </w:p>
        </w:tc>
        <w:tc>
          <w:tcPr>
            <w:tcW w:w="1423" w:type="dxa"/>
            <w:vAlign w:val="center"/>
          </w:tcPr>
          <w:p w:rsidR="00EF363F" w:rsidRPr="00FA5834" w:rsidRDefault="00EF363F" w:rsidP="00E3494E">
            <w:pPr>
              <w:pStyle w:val="naisf"/>
              <w:spacing w:before="0" w:after="0"/>
              <w:ind w:right="71" w:firstLine="0"/>
              <w:jc w:val="center"/>
              <w:rPr>
                <w:b/>
                <w:i/>
              </w:rPr>
            </w:pPr>
            <w:r w:rsidRPr="00FA5834">
              <w:t>Izmaiņas, salīdzinot ar kārtējo gadu</w:t>
            </w:r>
          </w:p>
        </w:tc>
        <w:tc>
          <w:tcPr>
            <w:tcW w:w="1423" w:type="dxa"/>
            <w:vAlign w:val="center"/>
          </w:tcPr>
          <w:p w:rsidR="00EF363F" w:rsidRPr="00FA5834" w:rsidRDefault="00EF363F" w:rsidP="00BD0B63">
            <w:pPr>
              <w:pStyle w:val="naisf"/>
              <w:spacing w:before="0" w:after="0"/>
              <w:ind w:right="71" w:firstLine="0"/>
              <w:jc w:val="center"/>
            </w:pPr>
            <w:r w:rsidRPr="00FA5834">
              <w:t xml:space="preserve">Izmaiņas, salīdzinot ar kārtējo </w:t>
            </w:r>
          </w:p>
          <w:p w:rsidR="00EF363F" w:rsidRPr="00FA5834" w:rsidRDefault="00EF363F" w:rsidP="00BD0B63">
            <w:pPr>
              <w:pStyle w:val="naisf"/>
              <w:spacing w:before="0" w:after="0"/>
              <w:ind w:right="71" w:firstLine="0"/>
              <w:jc w:val="center"/>
              <w:rPr>
                <w:b/>
                <w:i/>
              </w:rPr>
            </w:pPr>
            <w:r w:rsidRPr="00FA5834">
              <w:t>gadu</w:t>
            </w:r>
          </w:p>
        </w:tc>
        <w:tc>
          <w:tcPr>
            <w:tcW w:w="1233" w:type="dxa"/>
            <w:vAlign w:val="center"/>
          </w:tcPr>
          <w:p w:rsidR="00EF363F" w:rsidRPr="00FA5834" w:rsidRDefault="00EF363F" w:rsidP="00BD0B63">
            <w:pPr>
              <w:pStyle w:val="naisf"/>
              <w:spacing w:before="0" w:after="0"/>
              <w:ind w:right="71" w:firstLine="0"/>
              <w:jc w:val="center"/>
            </w:pPr>
            <w:r w:rsidRPr="00FA5834">
              <w:t>Izmaiņas, salīdzinot ar kārtējo</w:t>
            </w:r>
          </w:p>
          <w:p w:rsidR="00EF363F" w:rsidRPr="00FA5834" w:rsidRDefault="00EF363F" w:rsidP="00BD0B63">
            <w:pPr>
              <w:pStyle w:val="naisf"/>
              <w:spacing w:before="0" w:after="0"/>
              <w:ind w:right="71" w:firstLine="0"/>
              <w:jc w:val="center"/>
              <w:rPr>
                <w:b/>
                <w:i/>
              </w:rPr>
            </w:pPr>
            <w:r w:rsidRPr="00FA5834">
              <w:t>gadu</w:t>
            </w:r>
          </w:p>
        </w:tc>
      </w:tr>
      <w:tr w:rsidR="00EF363F" w:rsidRPr="00FA5834" w:rsidTr="00BD0B63">
        <w:trPr>
          <w:jc w:val="center"/>
        </w:trPr>
        <w:tc>
          <w:tcPr>
            <w:tcW w:w="2216" w:type="dxa"/>
            <w:vAlign w:val="center"/>
          </w:tcPr>
          <w:p w:rsidR="00EF363F" w:rsidRPr="00FA5834" w:rsidRDefault="00EF363F" w:rsidP="00BD0B63">
            <w:pPr>
              <w:pStyle w:val="naisf"/>
              <w:spacing w:before="0" w:after="0"/>
              <w:ind w:right="71" w:firstLine="0"/>
              <w:jc w:val="center"/>
              <w:rPr>
                <w:bCs/>
              </w:rPr>
            </w:pPr>
            <w:r w:rsidRPr="00FA5834">
              <w:rPr>
                <w:bCs/>
              </w:rPr>
              <w:t>1</w:t>
            </w:r>
          </w:p>
        </w:tc>
        <w:tc>
          <w:tcPr>
            <w:tcW w:w="1354" w:type="dxa"/>
            <w:vAlign w:val="center"/>
          </w:tcPr>
          <w:p w:rsidR="00EF363F" w:rsidRPr="00FA5834" w:rsidRDefault="00EF363F" w:rsidP="00BD0B63">
            <w:pPr>
              <w:pStyle w:val="naisf"/>
              <w:spacing w:before="0" w:after="0"/>
              <w:ind w:right="71" w:firstLine="0"/>
              <w:jc w:val="center"/>
              <w:rPr>
                <w:bCs/>
              </w:rPr>
            </w:pPr>
            <w:r w:rsidRPr="00FA5834">
              <w:rPr>
                <w:bCs/>
              </w:rPr>
              <w:t>2</w:t>
            </w:r>
          </w:p>
        </w:tc>
        <w:tc>
          <w:tcPr>
            <w:tcW w:w="1424" w:type="dxa"/>
            <w:vAlign w:val="center"/>
          </w:tcPr>
          <w:p w:rsidR="00EF363F" w:rsidRPr="00FA5834" w:rsidRDefault="00EF363F" w:rsidP="00BD0B63">
            <w:pPr>
              <w:pStyle w:val="naisf"/>
              <w:spacing w:before="0" w:after="0"/>
              <w:ind w:right="71" w:firstLine="0"/>
              <w:jc w:val="center"/>
              <w:rPr>
                <w:bCs/>
              </w:rPr>
            </w:pPr>
            <w:r w:rsidRPr="00FA5834">
              <w:rPr>
                <w:bCs/>
              </w:rPr>
              <w:t>3</w:t>
            </w:r>
          </w:p>
        </w:tc>
        <w:tc>
          <w:tcPr>
            <w:tcW w:w="1423" w:type="dxa"/>
            <w:vAlign w:val="center"/>
          </w:tcPr>
          <w:p w:rsidR="00EF363F" w:rsidRPr="00FA5834" w:rsidRDefault="00EF363F" w:rsidP="00BD0B63">
            <w:pPr>
              <w:pStyle w:val="naisf"/>
              <w:spacing w:before="0" w:after="0"/>
              <w:ind w:right="71" w:firstLine="0"/>
              <w:jc w:val="center"/>
              <w:rPr>
                <w:bCs/>
              </w:rPr>
            </w:pPr>
            <w:r w:rsidRPr="00FA5834">
              <w:rPr>
                <w:bCs/>
              </w:rPr>
              <w:t>4</w:t>
            </w:r>
          </w:p>
        </w:tc>
        <w:tc>
          <w:tcPr>
            <w:tcW w:w="1423" w:type="dxa"/>
            <w:vAlign w:val="center"/>
          </w:tcPr>
          <w:p w:rsidR="00EF363F" w:rsidRPr="00FA5834" w:rsidRDefault="00EF363F" w:rsidP="00BD0B63">
            <w:pPr>
              <w:pStyle w:val="naisf"/>
              <w:spacing w:before="0" w:after="0"/>
              <w:ind w:right="71" w:firstLine="0"/>
              <w:jc w:val="center"/>
              <w:rPr>
                <w:bCs/>
              </w:rPr>
            </w:pPr>
            <w:r w:rsidRPr="00FA5834">
              <w:rPr>
                <w:bCs/>
              </w:rPr>
              <w:t>5</w:t>
            </w:r>
          </w:p>
        </w:tc>
        <w:tc>
          <w:tcPr>
            <w:tcW w:w="1233" w:type="dxa"/>
            <w:vAlign w:val="center"/>
          </w:tcPr>
          <w:p w:rsidR="00EF363F" w:rsidRPr="00FA5834" w:rsidRDefault="00EF363F" w:rsidP="00BD0B63">
            <w:pPr>
              <w:pStyle w:val="naisf"/>
              <w:spacing w:before="0" w:after="0"/>
              <w:ind w:right="71" w:firstLine="0"/>
              <w:jc w:val="center"/>
              <w:rPr>
                <w:bCs/>
              </w:rPr>
            </w:pPr>
            <w:r w:rsidRPr="00FA5834">
              <w:rPr>
                <w:bCs/>
              </w:rPr>
              <w:t>6</w:t>
            </w:r>
          </w:p>
        </w:tc>
      </w:tr>
      <w:tr w:rsidR="00DC389A" w:rsidRPr="00FA5834" w:rsidTr="002A2FEE">
        <w:trPr>
          <w:jc w:val="center"/>
        </w:trPr>
        <w:tc>
          <w:tcPr>
            <w:tcW w:w="2216" w:type="dxa"/>
          </w:tcPr>
          <w:p w:rsidR="00DC389A" w:rsidRPr="00FA5834" w:rsidRDefault="00DC389A" w:rsidP="00BD0B63">
            <w:pPr>
              <w:pStyle w:val="naisf"/>
              <w:spacing w:before="0" w:after="0"/>
              <w:ind w:right="71" w:firstLine="0"/>
              <w:rPr>
                <w:i/>
              </w:rPr>
            </w:pPr>
            <w:r w:rsidRPr="00FA5834">
              <w:t>1. Budžeta ieņēmumi:</w:t>
            </w:r>
          </w:p>
        </w:tc>
        <w:tc>
          <w:tcPr>
            <w:tcW w:w="1354" w:type="dxa"/>
            <w:vAlign w:val="center"/>
          </w:tcPr>
          <w:p w:rsidR="00DC389A" w:rsidRPr="002A2FEE" w:rsidRDefault="002A2FEE" w:rsidP="002A2FEE">
            <w:pPr>
              <w:ind w:right="71"/>
              <w:jc w:val="center"/>
            </w:pPr>
            <w:r>
              <w:rPr>
                <w:iCs/>
              </w:rPr>
              <w:t>0</w:t>
            </w:r>
          </w:p>
        </w:tc>
        <w:tc>
          <w:tcPr>
            <w:tcW w:w="1424" w:type="dxa"/>
            <w:vAlign w:val="center"/>
          </w:tcPr>
          <w:p w:rsidR="00DC389A" w:rsidRPr="002A2FEE" w:rsidRDefault="002A2FEE" w:rsidP="002A2FEE">
            <w:pPr>
              <w:ind w:right="71"/>
              <w:jc w:val="center"/>
            </w:pPr>
            <w:r>
              <w:rPr>
                <w:iCs/>
              </w:rPr>
              <w:t>0</w:t>
            </w:r>
          </w:p>
        </w:tc>
        <w:tc>
          <w:tcPr>
            <w:tcW w:w="1423" w:type="dxa"/>
            <w:vAlign w:val="center"/>
          </w:tcPr>
          <w:p w:rsidR="00DC389A" w:rsidRPr="002A2FEE" w:rsidRDefault="002A2FEE" w:rsidP="002A2FEE">
            <w:pPr>
              <w:ind w:right="71"/>
              <w:jc w:val="center"/>
            </w:pPr>
            <w:r w:rsidRPr="002A2FEE">
              <w:rPr>
                <w:iCs/>
              </w:rPr>
              <w:t>0</w:t>
            </w:r>
          </w:p>
        </w:tc>
        <w:tc>
          <w:tcPr>
            <w:tcW w:w="1423" w:type="dxa"/>
            <w:vAlign w:val="center"/>
          </w:tcPr>
          <w:p w:rsidR="00DC389A" w:rsidRPr="002A2FEE" w:rsidRDefault="002A2FEE" w:rsidP="002A2FEE">
            <w:pPr>
              <w:ind w:right="71"/>
              <w:jc w:val="center"/>
            </w:pPr>
            <w:r w:rsidRPr="002A2FEE">
              <w:rPr>
                <w:iCs/>
              </w:rPr>
              <w:t>0</w:t>
            </w:r>
          </w:p>
        </w:tc>
        <w:tc>
          <w:tcPr>
            <w:tcW w:w="1233" w:type="dxa"/>
            <w:vAlign w:val="center"/>
          </w:tcPr>
          <w:p w:rsidR="00DC389A" w:rsidRPr="002A2FEE" w:rsidRDefault="002A2FEE" w:rsidP="002A2FEE">
            <w:pPr>
              <w:ind w:right="71"/>
              <w:jc w:val="center"/>
            </w:pPr>
            <w:r w:rsidRPr="002A2FEE">
              <w:rPr>
                <w:iCs/>
              </w:rPr>
              <w:t>0</w:t>
            </w:r>
          </w:p>
        </w:tc>
      </w:tr>
      <w:tr w:rsidR="00DC389A" w:rsidRPr="00FA5834" w:rsidTr="002A2FEE">
        <w:trPr>
          <w:jc w:val="center"/>
        </w:trPr>
        <w:tc>
          <w:tcPr>
            <w:tcW w:w="2216" w:type="dxa"/>
          </w:tcPr>
          <w:p w:rsidR="00DC389A" w:rsidRPr="00FA5834" w:rsidRDefault="00DC389A" w:rsidP="00BD0B63">
            <w:pPr>
              <w:pStyle w:val="naisf"/>
              <w:spacing w:before="0" w:after="0"/>
              <w:ind w:right="71" w:firstLine="0"/>
            </w:pPr>
            <w:r w:rsidRPr="00FA5834">
              <w:t>1.1. valsts pamatbudžets, tai skaitā ieņēmumi no maksas pakalpojumiem un citi pašu ieņēmumi</w:t>
            </w:r>
          </w:p>
          <w:p w:rsidR="00DC389A" w:rsidRPr="00FA5834" w:rsidRDefault="00DC389A" w:rsidP="00BD0B63">
            <w:pPr>
              <w:ind w:right="71"/>
              <w:jc w:val="center"/>
              <w:rPr>
                <w:i/>
              </w:rPr>
            </w:pPr>
          </w:p>
        </w:tc>
        <w:tc>
          <w:tcPr>
            <w:tcW w:w="1354" w:type="dxa"/>
            <w:vAlign w:val="center"/>
          </w:tcPr>
          <w:p w:rsidR="00DC389A" w:rsidRPr="002A2FEE" w:rsidRDefault="002A2FEE" w:rsidP="002A2FEE">
            <w:pPr>
              <w:ind w:right="71"/>
              <w:jc w:val="center"/>
            </w:pPr>
            <w:r w:rsidRPr="002A2FEE">
              <w:rPr>
                <w:iCs/>
              </w:rPr>
              <w:t>0</w:t>
            </w:r>
          </w:p>
        </w:tc>
        <w:tc>
          <w:tcPr>
            <w:tcW w:w="1424" w:type="dxa"/>
            <w:vAlign w:val="center"/>
          </w:tcPr>
          <w:p w:rsidR="00DC389A" w:rsidRPr="002A2FEE" w:rsidRDefault="002A2FEE" w:rsidP="002A2FEE">
            <w:pPr>
              <w:ind w:right="71"/>
              <w:jc w:val="center"/>
            </w:pPr>
            <w:r w:rsidRPr="002A2FEE">
              <w:rPr>
                <w:iCs/>
              </w:rPr>
              <w:t>0</w:t>
            </w:r>
          </w:p>
        </w:tc>
        <w:tc>
          <w:tcPr>
            <w:tcW w:w="1423" w:type="dxa"/>
            <w:vAlign w:val="center"/>
          </w:tcPr>
          <w:p w:rsidR="00DC389A" w:rsidRPr="002A2FEE" w:rsidRDefault="002A2FEE" w:rsidP="002A2FEE">
            <w:pPr>
              <w:ind w:right="71"/>
              <w:jc w:val="center"/>
            </w:pPr>
            <w:r w:rsidRPr="002A2FEE">
              <w:rPr>
                <w:iCs/>
              </w:rPr>
              <w:t>0</w:t>
            </w:r>
          </w:p>
        </w:tc>
        <w:tc>
          <w:tcPr>
            <w:tcW w:w="1423" w:type="dxa"/>
            <w:vAlign w:val="center"/>
          </w:tcPr>
          <w:p w:rsidR="00DC389A" w:rsidRPr="002A2FEE" w:rsidRDefault="002A2FEE" w:rsidP="002A2FEE">
            <w:pPr>
              <w:ind w:right="71"/>
              <w:jc w:val="center"/>
            </w:pPr>
            <w:r w:rsidRPr="002A2FEE">
              <w:rPr>
                <w:iCs/>
              </w:rPr>
              <w:t>0</w:t>
            </w:r>
          </w:p>
        </w:tc>
        <w:tc>
          <w:tcPr>
            <w:tcW w:w="1233" w:type="dxa"/>
            <w:vAlign w:val="center"/>
          </w:tcPr>
          <w:p w:rsidR="00DC389A" w:rsidRPr="002A2FEE" w:rsidRDefault="002A2FEE" w:rsidP="002A2FEE">
            <w:pPr>
              <w:ind w:right="71"/>
              <w:jc w:val="center"/>
            </w:pPr>
            <w:r w:rsidRPr="002A2FEE">
              <w:rPr>
                <w:iCs/>
              </w:rPr>
              <w:t>0</w:t>
            </w:r>
          </w:p>
        </w:tc>
      </w:tr>
      <w:tr w:rsidR="00DC389A" w:rsidRPr="00FA5834" w:rsidTr="002A2FEE">
        <w:trPr>
          <w:jc w:val="center"/>
        </w:trPr>
        <w:tc>
          <w:tcPr>
            <w:tcW w:w="2216" w:type="dxa"/>
          </w:tcPr>
          <w:p w:rsidR="00DC389A" w:rsidRPr="00FA5834" w:rsidRDefault="00DC389A" w:rsidP="00BD0B63">
            <w:pPr>
              <w:pStyle w:val="naisf"/>
              <w:spacing w:before="0" w:after="0"/>
              <w:ind w:right="71" w:firstLine="0"/>
              <w:rPr>
                <w:i/>
              </w:rPr>
            </w:pPr>
            <w:r w:rsidRPr="00FA5834">
              <w:t>1.2. valsts speciālais budžets</w:t>
            </w:r>
          </w:p>
        </w:tc>
        <w:tc>
          <w:tcPr>
            <w:tcW w:w="1354" w:type="dxa"/>
            <w:vAlign w:val="center"/>
          </w:tcPr>
          <w:p w:rsidR="00DC389A" w:rsidRPr="002A2FEE" w:rsidRDefault="002A2FEE" w:rsidP="002A2FEE">
            <w:pPr>
              <w:ind w:right="71"/>
              <w:jc w:val="center"/>
            </w:pPr>
            <w:r w:rsidRPr="002A2FEE">
              <w:rPr>
                <w:iCs/>
              </w:rPr>
              <w:t>0</w:t>
            </w:r>
          </w:p>
        </w:tc>
        <w:tc>
          <w:tcPr>
            <w:tcW w:w="1424" w:type="dxa"/>
            <w:vAlign w:val="center"/>
          </w:tcPr>
          <w:p w:rsidR="00DC389A" w:rsidRPr="002A2FEE" w:rsidRDefault="002A2FEE" w:rsidP="002A2FEE">
            <w:pPr>
              <w:ind w:right="71"/>
              <w:jc w:val="center"/>
            </w:pPr>
            <w:r w:rsidRPr="002A2FEE">
              <w:rPr>
                <w:iCs/>
              </w:rPr>
              <w:t>0</w:t>
            </w:r>
          </w:p>
        </w:tc>
        <w:tc>
          <w:tcPr>
            <w:tcW w:w="1423" w:type="dxa"/>
            <w:vAlign w:val="center"/>
          </w:tcPr>
          <w:p w:rsidR="00DC389A" w:rsidRPr="001958F6" w:rsidRDefault="002A2FEE" w:rsidP="001958F6">
            <w:pPr>
              <w:ind w:right="71"/>
              <w:jc w:val="center"/>
            </w:pPr>
            <w:r>
              <w:rPr>
                <w:iCs/>
              </w:rPr>
              <w:t>0</w:t>
            </w:r>
          </w:p>
        </w:tc>
        <w:tc>
          <w:tcPr>
            <w:tcW w:w="1423" w:type="dxa"/>
            <w:vAlign w:val="center"/>
          </w:tcPr>
          <w:p w:rsidR="00DC389A" w:rsidRPr="001958F6" w:rsidRDefault="002A2FEE" w:rsidP="001958F6">
            <w:pPr>
              <w:ind w:right="71"/>
              <w:jc w:val="center"/>
            </w:pPr>
            <w:r>
              <w:rPr>
                <w:iCs/>
              </w:rPr>
              <w:t>0</w:t>
            </w:r>
          </w:p>
        </w:tc>
        <w:tc>
          <w:tcPr>
            <w:tcW w:w="1233" w:type="dxa"/>
            <w:vAlign w:val="center"/>
          </w:tcPr>
          <w:p w:rsidR="00DC389A" w:rsidRPr="001958F6" w:rsidRDefault="002A2FEE" w:rsidP="001958F6">
            <w:pPr>
              <w:ind w:right="71"/>
              <w:jc w:val="center"/>
            </w:pPr>
            <w:r>
              <w:rPr>
                <w:iCs/>
              </w:rPr>
              <w:t>0</w:t>
            </w:r>
          </w:p>
        </w:tc>
      </w:tr>
      <w:tr w:rsidR="00DC389A" w:rsidRPr="00FA5834" w:rsidTr="002A2FEE">
        <w:trPr>
          <w:jc w:val="center"/>
        </w:trPr>
        <w:tc>
          <w:tcPr>
            <w:tcW w:w="2216" w:type="dxa"/>
          </w:tcPr>
          <w:p w:rsidR="00DC389A" w:rsidRPr="00FA5834" w:rsidRDefault="00DC389A" w:rsidP="00BD0B63">
            <w:pPr>
              <w:pStyle w:val="naisf"/>
              <w:spacing w:before="0" w:after="0"/>
              <w:ind w:right="71" w:firstLine="0"/>
              <w:rPr>
                <w:i/>
              </w:rPr>
            </w:pPr>
            <w:r w:rsidRPr="00FA5834">
              <w:t>1.3. pašvaldību budžets</w:t>
            </w:r>
          </w:p>
        </w:tc>
        <w:tc>
          <w:tcPr>
            <w:tcW w:w="1354" w:type="dxa"/>
            <w:vAlign w:val="center"/>
          </w:tcPr>
          <w:p w:rsidR="00DC389A" w:rsidRPr="002A2FEE" w:rsidRDefault="002A2FEE" w:rsidP="002A2FEE">
            <w:pPr>
              <w:ind w:right="71"/>
              <w:jc w:val="center"/>
            </w:pPr>
            <w:r w:rsidRPr="002A2FEE">
              <w:rPr>
                <w:iCs/>
              </w:rPr>
              <w:t>0</w:t>
            </w:r>
          </w:p>
        </w:tc>
        <w:tc>
          <w:tcPr>
            <w:tcW w:w="1424" w:type="dxa"/>
            <w:vAlign w:val="center"/>
          </w:tcPr>
          <w:p w:rsidR="00DC389A" w:rsidRPr="002A2FEE" w:rsidRDefault="002A2FEE" w:rsidP="002A2FEE">
            <w:pPr>
              <w:ind w:right="71"/>
              <w:jc w:val="center"/>
            </w:pPr>
            <w:r w:rsidRPr="002A2FEE">
              <w:rPr>
                <w:iCs/>
              </w:rPr>
              <w:t>0</w:t>
            </w:r>
          </w:p>
        </w:tc>
        <w:tc>
          <w:tcPr>
            <w:tcW w:w="1423" w:type="dxa"/>
            <w:vAlign w:val="center"/>
          </w:tcPr>
          <w:p w:rsidR="00DC389A" w:rsidRPr="002A2FEE" w:rsidRDefault="002A2FEE" w:rsidP="002A2FEE">
            <w:pPr>
              <w:ind w:right="71"/>
              <w:jc w:val="center"/>
            </w:pPr>
            <w:r w:rsidRPr="002A2FEE">
              <w:rPr>
                <w:iCs/>
              </w:rPr>
              <w:t>0</w:t>
            </w:r>
          </w:p>
        </w:tc>
        <w:tc>
          <w:tcPr>
            <w:tcW w:w="1423" w:type="dxa"/>
            <w:vAlign w:val="center"/>
          </w:tcPr>
          <w:p w:rsidR="00DC389A" w:rsidRPr="002A2FEE" w:rsidRDefault="002A2FEE" w:rsidP="002A2FEE">
            <w:pPr>
              <w:ind w:right="71"/>
              <w:jc w:val="center"/>
            </w:pPr>
            <w:r w:rsidRPr="002A2FEE">
              <w:rPr>
                <w:iCs/>
              </w:rPr>
              <w:t>0</w:t>
            </w:r>
          </w:p>
        </w:tc>
        <w:tc>
          <w:tcPr>
            <w:tcW w:w="1233" w:type="dxa"/>
            <w:vAlign w:val="center"/>
          </w:tcPr>
          <w:p w:rsidR="00DC389A" w:rsidRPr="002A2FEE" w:rsidRDefault="002A2FEE" w:rsidP="002A2FEE">
            <w:pPr>
              <w:ind w:right="71"/>
              <w:jc w:val="center"/>
            </w:pPr>
            <w:r w:rsidRPr="002A2FEE">
              <w:rPr>
                <w:iCs/>
              </w:rPr>
              <w:t>0</w:t>
            </w:r>
          </w:p>
        </w:tc>
      </w:tr>
      <w:tr w:rsidR="00AD4609" w:rsidRPr="001958F6" w:rsidTr="002A2FEE">
        <w:trPr>
          <w:jc w:val="center"/>
        </w:trPr>
        <w:tc>
          <w:tcPr>
            <w:tcW w:w="2216" w:type="dxa"/>
          </w:tcPr>
          <w:p w:rsidR="00AD4609" w:rsidRPr="00FA5834" w:rsidRDefault="00AD4609" w:rsidP="00AD4609">
            <w:pPr>
              <w:ind w:right="71"/>
            </w:pPr>
            <w:r w:rsidRPr="00FA5834">
              <w:t>2. Budžeta izdevumi:</w:t>
            </w:r>
          </w:p>
        </w:tc>
        <w:tc>
          <w:tcPr>
            <w:tcW w:w="1354" w:type="dxa"/>
            <w:vAlign w:val="center"/>
          </w:tcPr>
          <w:p w:rsidR="00AD4609" w:rsidRPr="002A2FEE" w:rsidRDefault="00AD4609" w:rsidP="00AD4609">
            <w:pPr>
              <w:spacing w:line="276" w:lineRule="auto"/>
              <w:ind w:right="71"/>
              <w:jc w:val="center"/>
            </w:pPr>
            <w:r>
              <w:t>0</w:t>
            </w:r>
          </w:p>
        </w:tc>
        <w:tc>
          <w:tcPr>
            <w:tcW w:w="1424" w:type="dxa"/>
            <w:vAlign w:val="center"/>
          </w:tcPr>
          <w:p w:rsidR="00AD4609" w:rsidRPr="002A2FEE" w:rsidRDefault="00AD4609" w:rsidP="00AD4609">
            <w:pPr>
              <w:spacing w:line="276" w:lineRule="auto"/>
              <w:ind w:right="71"/>
              <w:jc w:val="center"/>
            </w:pPr>
            <w:r>
              <w:t xml:space="preserve">291 </w:t>
            </w:r>
            <w:r w:rsidRPr="002E1D95">
              <w:t>374</w:t>
            </w:r>
          </w:p>
        </w:tc>
        <w:tc>
          <w:tcPr>
            <w:tcW w:w="1423" w:type="dxa"/>
            <w:vAlign w:val="center"/>
          </w:tcPr>
          <w:p w:rsidR="00AD4609" w:rsidRPr="00FA5834" w:rsidRDefault="00AD4609" w:rsidP="00AD4609">
            <w:pPr>
              <w:spacing w:line="276" w:lineRule="auto"/>
              <w:ind w:right="71"/>
              <w:jc w:val="center"/>
            </w:pPr>
            <w:r>
              <w:t xml:space="preserve">291 </w:t>
            </w:r>
            <w:r w:rsidRPr="002E1D95">
              <w:t>374</w:t>
            </w:r>
          </w:p>
        </w:tc>
        <w:tc>
          <w:tcPr>
            <w:tcW w:w="1423" w:type="dxa"/>
            <w:vAlign w:val="center"/>
          </w:tcPr>
          <w:p w:rsidR="00AD4609" w:rsidRPr="00FA5834" w:rsidRDefault="00AD4609" w:rsidP="00AD4609">
            <w:pPr>
              <w:spacing w:line="276" w:lineRule="auto"/>
              <w:ind w:right="71"/>
              <w:jc w:val="center"/>
            </w:pPr>
            <w:r>
              <w:t>291 374</w:t>
            </w:r>
          </w:p>
        </w:tc>
        <w:tc>
          <w:tcPr>
            <w:tcW w:w="1233" w:type="dxa"/>
            <w:vAlign w:val="center"/>
          </w:tcPr>
          <w:p w:rsidR="00AD4609" w:rsidRPr="001958F6" w:rsidRDefault="00AD4609" w:rsidP="00AD4609">
            <w:pPr>
              <w:spacing w:line="276" w:lineRule="auto"/>
              <w:ind w:right="71"/>
              <w:jc w:val="center"/>
            </w:pPr>
            <w:r w:rsidRPr="001958F6">
              <w:rPr>
                <w:iCs/>
              </w:rPr>
              <w:t>291 374</w:t>
            </w:r>
          </w:p>
        </w:tc>
      </w:tr>
      <w:tr w:rsidR="00AD4609" w:rsidRPr="001958F6" w:rsidTr="002A2FEE">
        <w:trPr>
          <w:jc w:val="center"/>
        </w:trPr>
        <w:tc>
          <w:tcPr>
            <w:tcW w:w="2216" w:type="dxa"/>
          </w:tcPr>
          <w:p w:rsidR="00AD4609" w:rsidRPr="00FA5834" w:rsidRDefault="00AD4609" w:rsidP="00AD4609">
            <w:pPr>
              <w:ind w:right="71"/>
            </w:pPr>
            <w:r w:rsidRPr="00FA5834">
              <w:t>2.1. valsts pamatbudžets</w:t>
            </w:r>
          </w:p>
        </w:tc>
        <w:tc>
          <w:tcPr>
            <w:tcW w:w="1354" w:type="dxa"/>
            <w:vAlign w:val="center"/>
          </w:tcPr>
          <w:p w:rsidR="00AD4609" w:rsidRPr="002A2FEE" w:rsidRDefault="00AD4609" w:rsidP="00AD4609">
            <w:pPr>
              <w:ind w:right="71"/>
              <w:jc w:val="center"/>
            </w:pPr>
            <w:r>
              <w:t>0</w:t>
            </w:r>
          </w:p>
        </w:tc>
        <w:tc>
          <w:tcPr>
            <w:tcW w:w="1424" w:type="dxa"/>
            <w:vAlign w:val="center"/>
          </w:tcPr>
          <w:p w:rsidR="00AD4609" w:rsidRPr="002A2FEE" w:rsidRDefault="00AD4609" w:rsidP="00AD4609">
            <w:pPr>
              <w:ind w:right="71"/>
              <w:jc w:val="center"/>
            </w:pPr>
            <w:r>
              <w:t>291 374</w:t>
            </w:r>
          </w:p>
        </w:tc>
        <w:tc>
          <w:tcPr>
            <w:tcW w:w="1423" w:type="dxa"/>
            <w:vAlign w:val="center"/>
          </w:tcPr>
          <w:p w:rsidR="00AD4609" w:rsidRPr="00FA5834" w:rsidRDefault="00AD4609" w:rsidP="00AD4609">
            <w:pPr>
              <w:ind w:right="71"/>
              <w:jc w:val="center"/>
            </w:pPr>
            <w:r>
              <w:t>291 374</w:t>
            </w:r>
          </w:p>
        </w:tc>
        <w:tc>
          <w:tcPr>
            <w:tcW w:w="1423" w:type="dxa"/>
            <w:vAlign w:val="center"/>
          </w:tcPr>
          <w:p w:rsidR="00AD4609" w:rsidRPr="00FA5834" w:rsidRDefault="00AD4609" w:rsidP="00AD4609">
            <w:pPr>
              <w:ind w:right="71"/>
              <w:jc w:val="center"/>
            </w:pPr>
            <w:r>
              <w:t>291 374</w:t>
            </w:r>
          </w:p>
        </w:tc>
        <w:tc>
          <w:tcPr>
            <w:tcW w:w="1233" w:type="dxa"/>
            <w:vAlign w:val="center"/>
          </w:tcPr>
          <w:p w:rsidR="00AD4609" w:rsidRPr="001958F6" w:rsidRDefault="00AD4609" w:rsidP="00AD4609">
            <w:pPr>
              <w:ind w:right="71"/>
              <w:jc w:val="center"/>
            </w:pPr>
            <w:r w:rsidRPr="001958F6">
              <w:rPr>
                <w:iCs/>
              </w:rPr>
              <w:t>291 374</w:t>
            </w:r>
          </w:p>
        </w:tc>
      </w:tr>
      <w:tr w:rsidR="00DC389A" w:rsidRPr="00FA5834" w:rsidTr="002A2FEE">
        <w:trPr>
          <w:jc w:val="center"/>
        </w:trPr>
        <w:tc>
          <w:tcPr>
            <w:tcW w:w="2216" w:type="dxa"/>
          </w:tcPr>
          <w:p w:rsidR="00DC389A" w:rsidRPr="00FA5834" w:rsidRDefault="00DC389A" w:rsidP="00BD0B63">
            <w:pPr>
              <w:ind w:right="71"/>
            </w:pPr>
            <w:r w:rsidRPr="00FA5834">
              <w:t>2.2. valsts speciālais budžets</w:t>
            </w:r>
          </w:p>
        </w:tc>
        <w:tc>
          <w:tcPr>
            <w:tcW w:w="1354" w:type="dxa"/>
            <w:vAlign w:val="center"/>
          </w:tcPr>
          <w:p w:rsidR="00DC389A" w:rsidRPr="002A2FEE" w:rsidRDefault="002A2FEE" w:rsidP="002A2FEE">
            <w:pPr>
              <w:ind w:right="71"/>
              <w:jc w:val="center"/>
            </w:pPr>
            <w:r>
              <w:rPr>
                <w:iCs/>
              </w:rPr>
              <w:t>0</w:t>
            </w:r>
          </w:p>
        </w:tc>
        <w:tc>
          <w:tcPr>
            <w:tcW w:w="1424" w:type="dxa"/>
            <w:vAlign w:val="center"/>
          </w:tcPr>
          <w:p w:rsidR="00DC389A" w:rsidRPr="002A2FEE" w:rsidRDefault="002A2FEE" w:rsidP="002A2FEE">
            <w:pPr>
              <w:ind w:right="71"/>
              <w:jc w:val="center"/>
            </w:pPr>
            <w:r>
              <w:rPr>
                <w:iCs/>
              </w:rPr>
              <w:t>0</w:t>
            </w:r>
          </w:p>
        </w:tc>
        <w:tc>
          <w:tcPr>
            <w:tcW w:w="1423" w:type="dxa"/>
            <w:vAlign w:val="center"/>
          </w:tcPr>
          <w:p w:rsidR="00DC389A" w:rsidRPr="002A2FEE" w:rsidRDefault="002A2FEE" w:rsidP="002A2FEE">
            <w:pPr>
              <w:ind w:right="71"/>
              <w:jc w:val="center"/>
            </w:pPr>
            <w:r w:rsidRPr="002A2FEE">
              <w:rPr>
                <w:iCs/>
              </w:rPr>
              <w:t>0</w:t>
            </w:r>
          </w:p>
        </w:tc>
        <w:tc>
          <w:tcPr>
            <w:tcW w:w="1423" w:type="dxa"/>
            <w:vAlign w:val="center"/>
          </w:tcPr>
          <w:p w:rsidR="00DC389A" w:rsidRPr="002A2FEE" w:rsidRDefault="002A2FEE" w:rsidP="002A2FEE">
            <w:pPr>
              <w:ind w:right="71"/>
              <w:jc w:val="center"/>
            </w:pPr>
            <w:r w:rsidRPr="002A2FEE">
              <w:rPr>
                <w:iCs/>
              </w:rPr>
              <w:t>0</w:t>
            </w:r>
          </w:p>
        </w:tc>
        <w:tc>
          <w:tcPr>
            <w:tcW w:w="1233" w:type="dxa"/>
            <w:vAlign w:val="center"/>
          </w:tcPr>
          <w:p w:rsidR="00DC389A" w:rsidRPr="002A2FEE" w:rsidRDefault="002A2FEE" w:rsidP="002A2FEE">
            <w:pPr>
              <w:ind w:right="71"/>
              <w:jc w:val="center"/>
            </w:pPr>
            <w:r w:rsidRPr="002A2FEE">
              <w:rPr>
                <w:iCs/>
              </w:rPr>
              <w:t>0</w:t>
            </w:r>
          </w:p>
        </w:tc>
      </w:tr>
      <w:tr w:rsidR="00DC389A" w:rsidRPr="00FA5834" w:rsidTr="002A2FEE">
        <w:trPr>
          <w:jc w:val="center"/>
        </w:trPr>
        <w:tc>
          <w:tcPr>
            <w:tcW w:w="2216" w:type="dxa"/>
          </w:tcPr>
          <w:p w:rsidR="00DC389A" w:rsidRPr="00FA5834" w:rsidRDefault="00DC389A" w:rsidP="00BD0B63">
            <w:pPr>
              <w:ind w:right="71"/>
            </w:pPr>
            <w:r w:rsidRPr="00FA5834">
              <w:t xml:space="preserve">2.3. pašvaldību budžets </w:t>
            </w:r>
          </w:p>
        </w:tc>
        <w:tc>
          <w:tcPr>
            <w:tcW w:w="1354" w:type="dxa"/>
            <w:vAlign w:val="center"/>
          </w:tcPr>
          <w:p w:rsidR="00DC389A" w:rsidRPr="002A2FEE" w:rsidRDefault="002A2FEE" w:rsidP="002A2FEE">
            <w:pPr>
              <w:ind w:right="71"/>
              <w:jc w:val="center"/>
            </w:pPr>
            <w:r>
              <w:rPr>
                <w:iCs/>
              </w:rPr>
              <w:t>0</w:t>
            </w:r>
          </w:p>
        </w:tc>
        <w:tc>
          <w:tcPr>
            <w:tcW w:w="1424" w:type="dxa"/>
            <w:vAlign w:val="center"/>
          </w:tcPr>
          <w:p w:rsidR="00DC389A" w:rsidRPr="002A2FEE" w:rsidRDefault="002A2FEE" w:rsidP="002A2FEE">
            <w:pPr>
              <w:ind w:right="71"/>
              <w:jc w:val="center"/>
            </w:pPr>
            <w:r>
              <w:rPr>
                <w:iCs/>
              </w:rPr>
              <w:t>0</w:t>
            </w:r>
          </w:p>
        </w:tc>
        <w:tc>
          <w:tcPr>
            <w:tcW w:w="1423" w:type="dxa"/>
            <w:vAlign w:val="center"/>
          </w:tcPr>
          <w:p w:rsidR="00DC389A" w:rsidRPr="002A2FEE" w:rsidRDefault="002A2FEE" w:rsidP="002A2FEE">
            <w:pPr>
              <w:ind w:right="71"/>
              <w:jc w:val="center"/>
            </w:pPr>
            <w:r w:rsidRPr="002A2FEE">
              <w:rPr>
                <w:iCs/>
              </w:rPr>
              <w:t>0</w:t>
            </w:r>
          </w:p>
        </w:tc>
        <w:tc>
          <w:tcPr>
            <w:tcW w:w="1423" w:type="dxa"/>
            <w:vAlign w:val="center"/>
          </w:tcPr>
          <w:p w:rsidR="00DC389A" w:rsidRPr="002A2FEE" w:rsidRDefault="002A2FEE" w:rsidP="002A2FEE">
            <w:pPr>
              <w:ind w:right="71"/>
              <w:jc w:val="center"/>
            </w:pPr>
            <w:r w:rsidRPr="002A2FEE">
              <w:rPr>
                <w:iCs/>
              </w:rPr>
              <w:t>0</w:t>
            </w:r>
          </w:p>
        </w:tc>
        <w:tc>
          <w:tcPr>
            <w:tcW w:w="1233" w:type="dxa"/>
            <w:vAlign w:val="center"/>
          </w:tcPr>
          <w:p w:rsidR="00DC389A" w:rsidRPr="002A2FEE" w:rsidRDefault="002A2FEE" w:rsidP="002A2FEE">
            <w:pPr>
              <w:ind w:right="71"/>
              <w:jc w:val="center"/>
            </w:pPr>
            <w:r w:rsidRPr="002A2FEE">
              <w:rPr>
                <w:iCs/>
              </w:rPr>
              <w:t>0</w:t>
            </w:r>
          </w:p>
        </w:tc>
      </w:tr>
      <w:tr w:rsidR="00AD4609" w:rsidRPr="00FA5834" w:rsidTr="00060CF4">
        <w:trPr>
          <w:jc w:val="center"/>
        </w:trPr>
        <w:tc>
          <w:tcPr>
            <w:tcW w:w="2216" w:type="dxa"/>
          </w:tcPr>
          <w:p w:rsidR="00AD4609" w:rsidRPr="00FA5834" w:rsidRDefault="00AD4609" w:rsidP="00AD4609">
            <w:pPr>
              <w:ind w:right="71"/>
            </w:pPr>
            <w:r w:rsidRPr="00FA5834">
              <w:t>3. Finansiālā ietekme:</w:t>
            </w:r>
          </w:p>
        </w:tc>
        <w:tc>
          <w:tcPr>
            <w:tcW w:w="1354" w:type="dxa"/>
            <w:shd w:val="clear" w:color="auto" w:fill="auto"/>
            <w:vAlign w:val="center"/>
          </w:tcPr>
          <w:p w:rsidR="00AD4609" w:rsidRPr="002A2FEE" w:rsidRDefault="00AD4609" w:rsidP="00AD4609">
            <w:pPr>
              <w:ind w:right="71"/>
              <w:jc w:val="center"/>
            </w:pPr>
            <w:r>
              <w:t>0</w:t>
            </w:r>
          </w:p>
        </w:tc>
        <w:tc>
          <w:tcPr>
            <w:tcW w:w="1424" w:type="dxa"/>
            <w:vAlign w:val="center"/>
          </w:tcPr>
          <w:p w:rsidR="00AD4609" w:rsidRPr="002A2FEE" w:rsidRDefault="00AD4609" w:rsidP="00060CF4">
            <w:pPr>
              <w:ind w:right="71"/>
              <w:jc w:val="center"/>
            </w:pPr>
            <w:r w:rsidRPr="000F599F">
              <w:t>-291 374</w:t>
            </w:r>
          </w:p>
        </w:tc>
        <w:tc>
          <w:tcPr>
            <w:tcW w:w="1423" w:type="dxa"/>
            <w:vAlign w:val="center"/>
          </w:tcPr>
          <w:p w:rsidR="00AD4609" w:rsidRPr="00D43755" w:rsidRDefault="00AD4609" w:rsidP="00AD4609">
            <w:pPr>
              <w:ind w:right="71"/>
              <w:jc w:val="center"/>
            </w:pPr>
            <w:r w:rsidRPr="00D43755">
              <w:t>-291 374</w:t>
            </w:r>
          </w:p>
        </w:tc>
        <w:tc>
          <w:tcPr>
            <w:tcW w:w="1423" w:type="dxa"/>
            <w:vAlign w:val="center"/>
          </w:tcPr>
          <w:p w:rsidR="00AD4609" w:rsidRPr="00D43755" w:rsidRDefault="00AD4609" w:rsidP="00AD4609">
            <w:pPr>
              <w:ind w:right="71"/>
              <w:jc w:val="center"/>
            </w:pPr>
            <w:r w:rsidRPr="00D43755">
              <w:t>-291 374</w:t>
            </w:r>
          </w:p>
        </w:tc>
        <w:tc>
          <w:tcPr>
            <w:tcW w:w="1233" w:type="dxa"/>
            <w:vAlign w:val="center"/>
          </w:tcPr>
          <w:p w:rsidR="00AD4609" w:rsidRPr="00D43755" w:rsidRDefault="00AD4609" w:rsidP="00AD4609">
            <w:pPr>
              <w:ind w:right="71"/>
              <w:jc w:val="center"/>
            </w:pPr>
            <w:r w:rsidRPr="00D43755">
              <w:rPr>
                <w:iCs/>
              </w:rPr>
              <w:t>-291 374</w:t>
            </w:r>
          </w:p>
        </w:tc>
      </w:tr>
      <w:tr w:rsidR="00AD4609" w:rsidRPr="00FA5834" w:rsidTr="00060CF4">
        <w:trPr>
          <w:jc w:val="center"/>
        </w:trPr>
        <w:tc>
          <w:tcPr>
            <w:tcW w:w="2216" w:type="dxa"/>
          </w:tcPr>
          <w:p w:rsidR="00AD4609" w:rsidRPr="00FA5834" w:rsidRDefault="00AD4609" w:rsidP="00AD4609">
            <w:pPr>
              <w:ind w:right="71"/>
            </w:pPr>
            <w:r w:rsidRPr="00FA5834">
              <w:t>3.1. valsts pamatbudžets</w:t>
            </w:r>
          </w:p>
        </w:tc>
        <w:tc>
          <w:tcPr>
            <w:tcW w:w="1354" w:type="dxa"/>
            <w:shd w:val="clear" w:color="auto" w:fill="auto"/>
            <w:vAlign w:val="center"/>
          </w:tcPr>
          <w:p w:rsidR="00AD4609" w:rsidRPr="002A2FEE" w:rsidRDefault="00AD4609" w:rsidP="00AD4609">
            <w:pPr>
              <w:ind w:right="71"/>
              <w:jc w:val="center"/>
            </w:pPr>
            <w:r>
              <w:t>0</w:t>
            </w:r>
          </w:p>
        </w:tc>
        <w:tc>
          <w:tcPr>
            <w:tcW w:w="1424" w:type="dxa"/>
            <w:vAlign w:val="center"/>
          </w:tcPr>
          <w:p w:rsidR="00AD4609" w:rsidRPr="002A2FEE" w:rsidRDefault="00AD4609" w:rsidP="00060CF4">
            <w:pPr>
              <w:ind w:right="71"/>
              <w:jc w:val="center"/>
            </w:pPr>
            <w:r w:rsidRPr="000F599F">
              <w:t>-291 374</w:t>
            </w:r>
          </w:p>
        </w:tc>
        <w:tc>
          <w:tcPr>
            <w:tcW w:w="1423" w:type="dxa"/>
            <w:vAlign w:val="center"/>
          </w:tcPr>
          <w:p w:rsidR="00AD4609" w:rsidRPr="00D43755" w:rsidRDefault="00AD4609" w:rsidP="00AD4609">
            <w:pPr>
              <w:ind w:right="71"/>
              <w:jc w:val="center"/>
            </w:pPr>
            <w:r w:rsidRPr="00D43755">
              <w:t>-291 374</w:t>
            </w:r>
          </w:p>
        </w:tc>
        <w:tc>
          <w:tcPr>
            <w:tcW w:w="1423" w:type="dxa"/>
            <w:vAlign w:val="center"/>
          </w:tcPr>
          <w:p w:rsidR="00AD4609" w:rsidRPr="00D43755" w:rsidRDefault="00AD4609" w:rsidP="00AD4609">
            <w:pPr>
              <w:ind w:right="71"/>
              <w:jc w:val="center"/>
            </w:pPr>
            <w:r w:rsidRPr="00D43755">
              <w:t>-291 374</w:t>
            </w:r>
          </w:p>
        </w:tc>
        <w:tc>
          <w:tcPr>
            <w:tcW w:w="1233" w:type="dxa"/>
            <w:vAlign w:val="center"/>
          </w:tcPr>
          <w:p w:rsidR="00AD4609" w:rsidRPr="00D43755" w:rsidRDefault="00AD4609" w:rsidP="00AD4609">
            <w:pPr>
              <w:ind w:right="71"/>
              <w:jc w:val="center"/>
            </w:pPr>
            <w:r w:rsidRPr="00D43755">
              <w:t>-291 374</w:t>
            </w:r>
          </w:p>
        </w:tc>
      </w:tr>
      <w:tr w:rsidR="00DC389A" w:rsidRPr="00FA5834" w:rsidTr="002A2FEE">
        <w:trPr>
          <w:jc w:val="center"/>
        </w:trPr>
        <w:tc>
          <w:tcPr>
            <w:tcW w:w="2216" w:type="dxa"/>
          </w:tcPr>
          <w:p w:rsidR="00DC389A" w:rsidRPr="00FA5834" w:rsidRDefault="00DC389A" w:rsidP="00BD0B63">
            <w:pPr>
              <w:ind w:right="71"/>
            </w:pPr>
            <w:r w:rsidRPr="00FA5834">
              <w:t>3.2. speciālais budžets</w:t>
            </w:r>
          </w:p>
        </w:tc>
        <w:tc>
          <w:tcPr>
            <w:tcW w:w="1354" w:type="dxa"/>
            <w:shd w:val="clear" w:color="auto" w:fill="auto"/>
            <w:vAlign w:val="center"/>
          </w:tcPr>
          <w:p w:rsidR="00DC389A" w:rsidRPr="002A2FEE" w:rsidRDefault="002A2FEE" w:rsidP="002A2FEE">
            <w:pPr>
              <w:ind w:right="71"/>
              <w:jc w:val="center"/>
            </w:pPr>
            <w:r>
              <w:rPr>
                <w:iCs/>
              </w:rPr>
              <w:t>0</w:t>
            </w:r>
          </w:p>
        </w:tc>
        <w:tc>
          <w:tcPr>
            <w:tcW w:w="1424" w:type="dxa"/>
            <w:vAlign w:val="center"/>
          </w:tcPr>
          <w:p w:rsidR="00DC389A" w:rsidRPr="002A2FEE" w:rsidRDefault="002A2FEE" w:rsidP="002A2FEE">
            <w:pPr>
              <w:ind w:right="71"/>
              <w:jc w:val="center"/>
            </w:pPr>
            <w:r>
              <w:rPr>
                <w:iCs/>
              </w:rPr>
              <w:t>0</w:t>
            </w:r>
          </w:p>
        </w:tc>
        <w:tc>
          <w:tcPr>
            <w:tcW w:w="1423" w:type="dxa"/>
            <w:vAlign w:val="center"/>
          </w:tcPr>
          <w:p w:rsidR="00DC389A" w:rsidRPr="00D43755" w:rsidRDefault="002A2FEE" w:rsidP="00D43755">
            <w:pPr>
              <w:ind w:right="71"/>
              <w:jc w:val="center"/>
            </w:pPr>
            <w:r>
              <w:rPr>
                <w:iCs/>
              </w:rPr>
              <w:t>0</w:t>
            </w:r>
          </w:p>
        </w:tc>
        <w:tc>
          <w:tcPr>
            <w:tcW w:w="1423" w:type="dxa"/>
            <w:vAlign w:val="center"/>
          </w:tcPr>
          <w:p w:rsidR="00DC389A" w:rsidRPr="00D43755" w:rsidRDefault="002A2FEE" w:rsidP="00D43755">
            <w:pPr>
              <w:ind w:right="71"/>
              <w:jc w:val="center"/>
            </w:pPr>
            <w:r>
              <w:rPr>
                <w:iCs/>
              </w:rPr>
              <w:t>0</w:t>
            </w:r>
          </w:p>
        </w:tc>
        <w:tc>
          <w:tcPr>
            <w:tcW w:w="1233" w:type="dxa"/>
            <w:vAlign w:val="center"/>
          </w:tcPr>
          <w:p w:rsidR="00DC389A" w:rsidRPr="00D43755" w:rsidRDefault="002A2FEE" w:rsidP="00D43755">
            <w:pPr>
              <w:ind w:right="71"/>
              <w:jc w:val="center"/>
            </w:pPr>
            <w:r>
              <w:rPr>
                <w:iCs/>
              </w:rPr>
              <w:t>0</w:t>
            </w:r>
          </w:p>
        </w:tc>
      </w:tr>
      <w:tr w:rsidR="00DC389A" w:rsidRPr="00FA5834" w:rsidTr="003C65F7">
        <w:trPr>
          <w:jc w:val="center"/>
        </w:trPr>
        <w:tc>
          <w:tcPr>
            <w:tcW w:w="2216" w:type="dxa"/>
          </w:tcPr>
          <w:p w:rsidR="00DC389A" w:rsidRPr="00FA5834" w:rsidRDefault="00DC389A" w:rsidP="00BD0B63">
            <w:pPr>
              <w:ind w:right="71"/>
            </w:pPr>
            <w:r w:rsidRPr="00FA5834">
              <w:t xml:space="preserve">3.3. pašvaldību </w:t>
            </w:r>
            <w:r w:rsidRPr="00FA5834">
              <w:lastRenderedPageBreak/>
              <w:t xml:space="preserve">budžets </w:t>
            </w:r>
          </w:p>
        </w:tc>
        <w:tc>
          <w:tcPr>
            <w:tcW w:w="1354" w:type="dxa"/>
            <w:tcBorders>
              <w:bottom w:val="single" w:sz="4" w:space="0" w:color="auto"/>
            </w:tcBorders>
            <w:shd w:val="clear" w:color="auto" w:fill="auto"/>
            <w:vAlign w:val="center"/>
          </w:tcPr>
          <w:p w:rsidR="00DC389A" w:rsidRPr="002A2FEE" w:rsidRDefault="002A2FEE" w:rsidP="002A2FEE">
            <w:pPr>
              <w:ind w:right="71"/>
              <w:jc w:val="center"/>
            </w:pPr>
            <w:r>
              <w:rPr>
                <w:iCs/>
              </w:rPr>
              <w:lastRenderedPageBreak/>
              <w:t>0</w:t>
            </w:r>
          </w:p>
        </w:tc>
        <w:tc>
          <w:tcPr>
            <w:tcW w:w="1424" w:type="dxa"/>
            <w:tcBorders>
              <w:bottom w:val="single" w:sz="4" w:space="0" w:color="auto"/>
            </w:tcBorders>
            <w:vAlign w:val="center"/>
          </w:tcPr>
          <w:p w:rsidR="00DC389A" w:rsidRPr="002A2FEE" w:rsidRDefault="002A2FEE" w:rsidP="002A2FEE">
            <w:pPr>
              <w:ind w:right="71"/>
              <w:jc w:val="center"/>
            </w:pPr>
            <w:r>
              <w:rPr>
                <w:iCs/>
              </w:rPr>
              <w:t>0</w:t>
            </w:r>
          </w:p>
        </w:tc>
        <w:tc>
          <w:tcPr>
            <w:tcW w:w="1423" w:type="dxa"/>
            <w:tcBorders>
              <w:bottom w:val="single" w:sz="4" w:space="0" w:color="auto"/>
            </w:tcBorders>
            <w:vAlign w:val="center"/>
          </w:tcPr>
          <w:p w:rsidR="00DC389A" w:rsidRPr="00D43755" w:rsidRDefault="002A2FEE" w:rsidP="00D43755">
            <w:pPr>
              <w:ind w:right="71"/>
              <w:jc w:val="center"/>
            </w:pPr>
            <w:r>
              <w:rPr>
                <w:iCs/>
              </w:rPr>
              <w:t>0</w:t>
            </w:r>
          </w:p>
        </w:tc>
        <w:tc>
          <w:tcPr>
            <w:tcW w:w="1423" w:type="dxa"/>
            <w:tcBorders>
              <w:bottom w:val="single" w:sz="4" w:space="0" w:color="auto"/>
            </w:tcBorders>
            <w:vAlign w:val="center"/>
          </w:tcPr>
          <w:p w:rsidR="00DC389A" w:rsidRPr="00D43755" w:rsidRDefault="002A2FEE" w:rsidP="00D43755">
            <w:pPr>
              <w:ind w:right="71"/>
              <w:jc w:val="center"/>
            </w:pPr>
            <w:r>
              <w:rPr>
                <w:iCs/>
              </w:rPr>
              <w:t>0</w:t>
            </w:r>
          </w:p>
        </w:tc>
        <w:tc>
          <w:tcPr>
            <w:tcW w:w="1233" w:type="dxa"/>
            <w:tcBorders>
              <w:bottom w:val="single" w:sz="4" w:space="0" w:color="auto"/>
            </w:tcBorders>
            <w:vAlign w:val="center"/>
          </w:tcPr>
          <w:p w:rsidR="00DC389A" w:rsidRPr="00D43755" w:rsidRDefault="002A2FEE" w:rsidP="00D43755">
            <w:pPr>
              <w:ind w:right="71"/>
              <w:jc w:val="center"/>
            </w:pPr>
            <w:r>
              <w:rPr>
                <w:iCs/>
              </w:rPr>
              <w:t>0</w:t>
            </w:r>
          </w:p>
        </w:tc>
      </w:tr>
      <w:tr w:rsidR="00AD4609" w:rsidRPr="00FA5834" w:rsidTr="003C65F7">
        <w:trPr>
          <w:jc w:val="center"/>
        </w:trPr>
        <w:tc>
          <w:tcPr>
            <w:tcW w:w="2216" w:type="dxa"/>
          </w:tcPr>
          <w:p w:rsidR="00AD4609" w:rsidRPr="00FA5834" w:rsidRDefault="00AD4609" w:rsidP="00AD4609">
            <w:pPr>
              <w:ind w:right="71"/>
            </w:pPr>
            <w:r w:rsidRPr="00FA5834">
              <w:lastRenderedPageBreak/>
              <w:t>4. Finanšu līdzekļi papildu izde</w:t>
            </w:r>
            <w:r w:rsidRPr="00FA5834">
              <w:softHyphen/>
              <w:t>vumu finansēšanai (kompensējošu izdevumu samazinājumu norāda ar "+" zīmi)</w:t>
            </w:r>
          </w:p>
        </w:tc>
        <w:tc>
          <w:tcPr>
            <w:tcW w:w="1354" w:type="dxa"/>
            <w:tcBorders>
              <w:bottom w:val="single" w:sz="4" w:space="0" w:color="auto"/>
              <w:right w:val="single" w:sz="4" w:space="0" w:color="auto"/>
            </w:tcBorders>
            <w:vAlign w:val="center"/>
          </w:tcPr>
          <w:p w:rsidR="00AD4609" w:rsidRPr="002A2FEE" w:rsidRDefault="00AD4609" w:rsidP="00AD4609">
            <w:pPr>
              <w:ind w:right="71"/>
              <w:jc w:val="center"/>
            </w:pPr>
            <w:r w:rsidRPr="002A2FEE">
              <w:t>x</w:t>
            </w:r>
          </w:p>
        </w:tc>
        <w:tc>
          <w:tcPr>
            <w:tcW w:w="1424" w:type="dxa"/>
            <w:tcBorders>
              <w:top w:val="single" w:sz="4" w:space="0" w:color="auto"/>
              <w:left w:val="single" w:sz="4" w:space="0" w:color="auto"/>
              <w:bottom w:val="single" w:sz="4" w:space="0" w:color="auto"/>
              <w:right w:val="single" w:sz="4" w:space="0" w:color="auto"/>
            </w:tcBorders>
            <w:vAlign w:val="center"/>
          </w:tcPr>
          <w:p w:rsidR="00AD4609" w:rsidRPr="002A2FEE" w:rsidRDefault="00AD4609" w:rsidP="00B47E53">
            <w:pPr>
              <w:ind w:right="71"/>
              <w:jc w:val="center"/>
              <w:rPr>
                <w:highlight w:val="yellow"/>
              </w:rPr>
            </w:pPr>
            <w:r w:rsidRPr="00BD347B">
              <w:t>291 374</w:t>
            </w:r>
          </w:p>
        </w:tc>
        <w:tc>
          <w:tcPr>
            <w:tcW w:w="1423" w:type="dxa"/>
            <w:tcBorders>
              <w:top w:val="single" w:sz="4" w:space="0" w:color="auto"/>
              <w:left w:val="single" w:sz="4" w:space="0" w:color="auto"/>
              <w:bottom w:val="single" w:sz="4" w:space="0" w:color="auto"/>
              <w:right w:val="single" w:sz="4" w:space="0" w:color="auto"/>
            </w:tcBorders>
            <w:vAlign w:val="center"/>
          </w:tcPr>
          <w:p w:rsidR="00AD4609" w:rsidRPr="00F775D8" w:rsidRDefault="00AD4609" w:rsidP="003C65F7">
            <w:pPr>
              <w:ind w:right="71"/>
              <w:jc w:val="center"/>
              <w:rPr>
                <w:highlight w:val="yellow"/>
              </w:rPr>
            </w:pPr>
            <w:r w:rsidRPr="00BD347B">
              <w:t>291 374</w:t>
            </w:r>
          </w:p>
        </w:tc>
        <w:tc>
          <w:tcPr>
            <w:tcW w:w="1423" w:type="dxa"/>
            <w:tcBorders>
              <w:top w:val="single" w:sz="4" w:space="0" w:color="auto"/>
              <w:left w:val="single" w:sz="4" w:space="0" w:color="auto"/>
              <w:bottom w:val="single" w:sz="4" w:space="0" w:color="auto"/>
              <w:right w:val="single" w:sz="4" w:space="0" w:color="auto"/>
            </w:tcBorders>
            <w:vAlign w:val="center"/>
          </w:tcPr>
          <w:p w:rsidR="00AD4609" w:rsidRPr="00F775D8" w:rsidRDefault="00AD4609" w:rsidP="003C65F7">
            <w:pPr>
              <w:ind w:right="71"/>
              <w:jc w:val="center"/>
              <w:rPr>
                <w:highlight w:val="yellow"/>
              </w:rPr>
            </w:pPr>
            <w:r w:rsidRPr="00BD347B">
              <w:t>291 374</w:t>
            </w:r>
          </w:p>
        </w:tc>
        <w:tc>
          <w:tcPr>
            <w:tcW w:w="1233" w:type="dxa"/>
            <w:tcBorders>
              <w:top w:val="single" w:sz="4" w:space="0" w:color="auto"/>
              <w:left w:val="single" w:sz="4" w:space="0" w:color="auto"/>
              <w:bottom w:val="single" w:sz="4" w:space="0" w:color="auto"/>
              <w:right w:val="single" w:sz="4" w:space="0" w:color="auto"/>
            </w:tcBorders>
            <w:vAlign w:val="center"/>
          </w:tcPr>
          <w:p w:rsidR="00AD4609" w:rsidRPr="001958F6" w:rsidRDefault="00AD4609" w:rsidP="00B47E53">
            <w:pPr>
              <w:ind w:right="71"/>
              <w:jc w:val="center"/>
            </w:pPr>
            <w:r w:rsidRPr="00BD347B">
              <w:t>291 374</w:t>
            </w:r>
          </w:p>
        </w:tc>
      </w:tr>
      <w:tr w:rsidR="00DC389A" w:rsidRPr="00FA5834" w:rsidTr="003C65F7">
        <w:trPr>
          <w:jc w:val="center"/>
        </w:trPr>
        <w:tc>
          <w:tcPr>
            <w:tcW w:w="2216" w:type="dxa"/>
          </w:tcPr>
          <w:p w:rsidR="00DC389A" w:rsidRPr="00FA5834" w:rsidRDefault="00DC389A" w:rsidP="00BD0B63">
            <w:pPr>
              <w:ind w:right="71"/>
            </w:pPr>
            <w:r w:rsidRPr="00FA5834">
              <w:t>5. Precizēta finansiālā ietekme:</w:t>
            </w:r>
          </w:p>
        </w:tc>
        <w:tc>
          <w:tcPr>
            <w:tcW w:w="1354" w:type="dxa"/>
            <w:vMerge w:val="restart"/>
            <w:tcBorders>
              <w:top w:val="single" w:sz="4" w:space="0" w:color="auto"/>
            </w:tcBorders>
            <w:vAlign w:val="center"/>
          </w:tcPr>
          <w:p w:rsidR="00DC389A" w:rsidRPr="002A2FEE" w:rsidRDefault="00E21C4A" w:rsidP="002A2FEE">
            <w:pPr>
              <w:ind w:right="71"/>
              <w:jc w:val="center"/>
            </w:pPr>
            <w:r w:rsidRPr="002A2FEE">
              <w:rPr>
                <w:iCs/>
              </w:rPr>
              <w:t>x</w:t>
            </w:r>
          </w:p>
        </w:tc>
        <w:tc>
          <w:tcPr>
            <w:tcW w:w="1424" w:type="dxa"/>
            <w:tcBorders>
              <w:top w:val="single" w:sz="4" w:space="0" w:color="auto"/>
            </w:tcBorders>
            <w:vAlign w:val="center"/>
          </w:tcPr>
          <w:p w:rsidR="00DC389A" w:rsidRPr="002A2FEE" w:rsidRDefault="00AB3B54" w:rsidP="002A2FEE">
            <w:pPr>
              <w:ind w:right="71"/>
              <w:jc w:val="center"/>
            </w:pPr>
            <w:r w:rsidRPr="002A2FEE">
              <w:t>0</w:t>
            </w:r>
          </w:p>
        </w:tc>
        <w:tc>
          <w:tcPr>
            <w:tcW w:w="1423" w:type="dxa"/>
            <w:tcBorders>
              <w:top w:val="single" w:sz="4" w:space="0" w:color="auto"/>
            </w:tcBorders>
            <w:vAlign w:val="center"/>
          </w:tcPr>
          <w:p w:rsidR="00DC389A" w:rsidRPr="002A2FEE" w:rsidRDefault="00AB3B54" w:rsidP="002A2FEE">
            <w:pPr>
              <w:ind w:right="71"/>
              <w:jc w:val="center"/>
            </w:pPr>
            <w:r w:rsidRPr="002A2FEE">
              <w:t>0</w:t>
            </w:r>
          </w:p>
        </w:tc>
        <w:tc>
          <w:tcPr>
            <w:tcW w:w="1423" w:type="dxa"/>
            <w:tcBorders>
              <w:top w:val="single" w:sz="4" w:space="0" w:color="auto"/>
            </w:tcBorders>
            <w:vAlign w:val="center"/>
          </w:tcPr>
          <w:p w:rsidR="00DC389A" w:rsidRPr="002A2FEE" w:rsidRDefault="00AB3B54" w:rsidP="002A2FEE">
            <w:pPr>
              <w:ind w:right="71"/>
              <w:jc w:val="center"/>
            </w:pPr>
            <w:r w:rsidRPr="002A2FEE">
              <w:t>0</w:t>
            </w:r>
          </w:p>
        </w:tc>
        <w:tc>
          <w:tcPr>
            <w:tcW w:w="1233" w:type="dxa"/>
            <w:tcBorders>
              <w:top w:val="single" w:sz="4" w:space="0" w:color="auto"/>
            </w:tcBorders>
            <w:vAlign w:val="center"/>
          </w:tcPr>
          <w:p w:rsidR="00DC389A" w:rsidRPr="002A2FEE" w:rsidRDefault="002A2FEE" w:rsidP="002A2FEE">
            <w:pPr>
              <w:ind w:right="71"/>
              <w:jc w:val="center"/>
            </w:pPr>
            <w:r w:rsidRPr="002A2FEE">
              <w:rPr>
                <w:iCs/>
              </w:rPr>
              <w:t>0</w:t>
            </w:r>
          </w:p>
        </w:tc>
      </w:tr>
      <w:tr w:rsidR="00DC389A" w:rsidRPr="00FA5834" w:rsidTr="002A2FEE">
        <w:trPr>
          <w:jc w:val="center"/>
        </w:trPr>
        <w:tc>
          <w:tcPr>
            <w:tcW w:w="2216" w:type="dxa"/>
          </w:tcPr>
          <w:p w:rsidR="00DC389A" w:rsidRPr="00FA5834" w:rsidRDefault="00DC389A" w:rsidP="00BD0B63">
            <w:pPr>
              <w:ind w:right="71"/>
            </w:pPr>
            <w:r w:rsidRPr="00FA5834">
              <w:t>5.1. valsts pamatbudžets</w:t>
            </w:r>
          </w:p>
        </w:tc>
        <w:tc>
          <w:tcPr>
            <w:tcW w:w="1354" w:type="dxa"/>
            <w:vMerge/>
            <w:vAlign w:val="center"/>
          </w:tcPr>
          <w:p w:rsidR="00DC389A" w:rsidRPr="002A2FEE" w:rsidRDefault="00DC389A" w:rsidP="002A2FEE">
            <w:pPr>
              <w:pStyle w:val="naisf"/>
              <w:spacing w:before="0" w:after="0"/>
              <w:ind w:right="71" w:firstLine="0"/>
              <w:jc w:val="center"/>
            </w:pPr>
          </w:p>
        </w:tc>
        <w:tc>
          <w:tcPr>
            <w:tcW w:w="1424" w:type="dxa"/>
            <w:vAlign w:val="center"/>
          </w:tcPr>
          <w:p w:rsidR="00DC389A" w:rsidRPr="002A2FEE" w:rsidRDefault="00AB3B54" w:rsidP="002A2FEE">
            <w:pPr>
              <w:ind w:right="71"/>
              <w:jc w:val="center"/>
            </w:pPr>
            <w:r w:rsidRPr="002A2FEE">
              <w:t>0</w:t>
            </w:r>
          </w:p>
        </w:tc>
        <w:tc>
          <w:tcPr>
            <w:tcW w:w="1423" w:type="dxa"/>
            <w:vAlign w:val="center"/>
          </w:tcPr>
          <w:p w:rsidR="00DC389A" w:rsidRPr="002A2FEE" w:rsidRDefault="00AB3B54" w:rsidP="002A2FEE">
            <w:pPr>
              <w:ind w:right="71"/>
              <w:jc w:val="center"/>
            </w:pPr>
            <w:r w:rsidRPr="002A2FEE">
              <w:t>0</w:t>
            </w:r>
          </w:p>
        </w:tc>
        <w:tc>
          <w:tcPr>
            <w:tcW w:w="1423" w:type="dxa"/>
            <w:vAlign w:val="center"/>
          </w:tcPr>
          <w:p w:rsidR="00DC389A" w:rsidRPr="002A2FEE" w:rsidRDefault="00AB3B54" w:rsidP="002A2FEE">
            <w:pPr>
              <w:ind w:right="71"/>
              <w:jc w:val="center"/>
            </w:pPr>
            <w:r w:rsidRPr="002A2FEE">
              <w:t>0</w:t>
            </w:r>
          </w:p>
        </w:tc>
        <w:tc>
          <w:tcPr>
            <w:tcW w:w="1233" w:type="dxa"/>
            <w:vAlign w:val="center"/>
          </w:tcPr>
          <w:p w:rsidR="00DC389A" w:rsidRPr="002A2FEE" w:rsidRDefault="002A2FEE" w:rsidP="002A2FEE">
            <w:pPr>
              <w:ind w:right="71"/>
              <w:jc w:val="center"/>
            </w:pPr>
            <w:r w:rsidRPr="002A2FEE">
              <w:rPr>
                <w:iCs/>
              </w:rPr>
              <w:t>0</w:t>
            </w:r>
          </w:p>
        </w:tc>
      </w:tr>
      <w:tr w:rsidR="00DC389A" w:rsidRPr="00FA5834" w:rsidTr="002A2FEE">
        <w:trPr>
          <w:jc w:val="center"/>
        </w:trPr>
        <w:tc>
          <w:tcPr>
            <w:tcW w:w="2216" w:type="dxa"/>
          </w:tcPr>
          <w:p w:rsidR="00DC389A" w:rsidRPr="00FA5834" w:rsidRDefault="00DC389A" w:rsidP="00BD0B63">
            <w:pPr>
              <w:ind w:right="71"/>
            </w:pPr>
            <w:r w:rsidRPr="00FA5834">
              <w:t>5.2. speciālais budžets</w:t>
            </w:r>
          </w:p>
        </w:tc>
        <w:tc>
          <w:tcPr>
            <w:tcW w:w="1354" w:type="dxa"/>
            <w:vMerge/>
            <w:vAlign w:val="center"/>
          </w:tcPr>
          <w:p w:rsidR="00DC389A" w:rsidRPr="002A2FEE" w:rsidRDefault="00DC389A" w:rsidP="002A2FEE">
            <w:pPr>
              <w:pStyle w:val="naisf"/>
              <w:spacing w:before="0" w:after="0"/>
              <w:ind w:right="71" w:firstLine="0"/>
              <w:jc w:val="center"/>
            </w:pPr>
          </w:p>
        </w:tc>
        <w:tc>
          <w:tcPr>
            <w:tcW w:w="1424" w:type="dxa"/>
            <w:vAlign w:val="center"/>
          </w:tcPr>
          <w:p w:rsidR="00DC389A" w:rsidRPr="002A2FEE" w:rsidRDefault="002A2FEE" w:rsidP="002A2FEE">
            <w:pPr>
              <w:ind w:right="71"/>
              <w:jc w:val="center"/>
            </w:pPr>
            <w:r w:rsidRPr="002A2FEE">
              <w:rPr>
                <w:iCs/>
              </w:rPr>
              <w:t>0</w:t>
            </w:r>
          </w:p>
        </w:tc>
        <w:tc>
          <w:tcPr>
            <w:tcW w:w="1423" w:type="dxa"/>
            <w:vAlign w:val="center"/>
          </w:tcPr>
          <w:p w:rsidR="00DC389A" w:rsidRPr="002A2FEE" w:rsidRDefault="002A2FEE" w:rsidP="002A2FEE">
            <w:pPr>
              <w:ind w:right="71"/>
              <w:jc w:val="center"/>
            </w:pPr>
            <w:r w:rsidRPr="002A2FEE">
              <w:rPr>
                <w:iCs/>
              </w:rPr>
              <w:t>0</w:t>
            </w:r>
          </w:p>
        </w:tc>
        <w:tc>
          <w:tcPr>
            <w:tcW w:w="1423" w:type="dxa"/>
            <w:vAlign w:val="center"/>
          </w:tcPr>
          <w:p w:rsidR="00DC389A" w:rsidRPr="002A2FEE" w:rsidRDefault="002A2FEE" w:rsidP="002A2FEE">
            <w:pPr>
              <w:ind w:right="71"/>
              <w:jc w:val="center"/>
            </w:pPr>
            <w:r w:rsidRPr="002A2FEE">
              <w:rPr>
                <w:iCs/>
              </w:rPr>
              <w:t>0</w:t>
            </w:r>
          </w:p>
        </w:tc>
        <w:tc>
          <w:tcPr>
            <w:tcW w:w="1233" w:type="dxa"/>
            <w:vAlign w:val="center"/>
          </w:tcPr>
          <w:p w:rsidR="00DC389A" w:rsidRPr="002A2FEE" w:rsidRDefault="002A2FEE" w:rsidP="002A2FEE">
            <w:pPr>
              <w:ind w:right="71"/>
              <w:jc w:val="center"/>
            </w:pPr>
            <w:r w:rsidRPr="002A2FEE">
              <w:rPr>
                <w:iCs/>
              </w:rPr>
              <w:t>0</w:t>
            </w:r>
          </w:p>
        </w:tc>
      </w:tr>
      <w:tr w:rsidR="00DC389A" w:rsidRPr="00FA5834" w:rsidTr="002A2FEE">
        <w:trPr>
          <w:jc w:val="center"/>
        </w:trPr>
        <w:tc>
          <w:tcPr>
            <w:tcW w:w="2216" w:type="dxa"/>
          </w:tcPr>
          <w:p w:rsidR="00DC389A" w:rsidRPr="00FA5834" w:rsidRDefault="00DC389A" w:rsidP="00BD0B63">
            <w:pPr>
              <w:ind w:right="71"/>
            </w:pPr>
            <w:r w:rsidRPr="00FA5834">
              <w:t xml:space="preserve">5.3. pašvaldību budžets </w:t>
            </w:r>
          </w:p>
        </w:tc>
        <w:tc>
          <w:tcPr>
            <w:tcW w:w="1354" w:type="dxa"/>
            <w:vMerge/>
            <w:vAlign w:val="center"/>
          </w:tcPr>
          <w:p w:rsidR="00DC389A" w:rsidRPr="002A2FEE" w:rsidRDefault="00DC389A" w:rsidP="002A2FEE">
            <w:pPr>
              <w:pStyle w:val="naisf"/>
              <w:spacing w:before="0" w:after="0"/>
              <w:ind w:right="71" w:firstLine="0"/>
              <w:jc w:val="center"/>
            </w:pPr>
          </w:p>
        </w:tc>
        <w:tc>
          <w:tcPr>
            <w:tcW w:w="1424" w:type="dxa"/>
            <w:vAlign w:val="center"/>
          </w:tcPr>
          <w:p w:rsidR="00DC389A" w:rsidRPr="002A2FEE" w:rsidRDefault="002A2FEE" w:rsidP="002A2FEE">
            <w:pPr>
              <w:ind w:right="71"/>
              <w:jc w:val="center"/>
            </w:pPr>
            <w:r w:rsidRPr="002A2FEE">
              <w:rPr>
                <w:iCs/>
              </w:rPr>
              <w:t>0</w:t>
            </w:r>
          </w:p>
        </w:tc>
        <w:tc>
          <w:tcPr>
            <w:tcW w:w="1423" w:type="dxa"/>
            <w:vAlign w:val="center"/>
          </w:tcPr>
          <w:p w:rsidR="00DC389A" w:rsidRPr="002A2FEE" w:rsidRDefault="002A2FEE" w:rsidP="002A2FEE">
            <w:pPr>
              <w:ind w:right="71"/>
              <w:jc w:val="center"/>
            </w:pPr>
            <w:r w:rsidRPr="002A2FEE">
              <w:rPr>
                <w:iCs/>
              </w:rPr>
              <w:t>0</w:t>
            </w:r>
          </w:p>
        </w:tc>
        <w:tc>
          <w:tcPr>
            <w:tcW w:w="1423" w:type="dxa"/>
            <w:vAlign w:val="center"/>
          </w:tcPr>
          <w:p w:rsidR="00DC389A" w:rsidRPr="002A2FEE" w:rsidRDefault="002A2FEE" w:rsidP="002A2FEE">
            <w:pPr>
              <w:ind w:right="71"/>
              <w:jc w:val="center"/>
            </w:pPr>
            <w:r w:rsidRPr="002A2FEE">
              <w:rPr>
                <w:iCs/>
              </w:rPr>
              <w:t>0</w:t>
            </w:r>
          </w:p>
        </w:tc>
        <w:tc>
          <w:tcPr>
            <w:tcW w:w="1233" w:type="dxa"/>
            <w:vAlign w:val="center"/>
          </w:tcPr>
          <w:p w:rsidR="00DC389A" w:rsidRPr="002A2FEE" w:rsidRDefault="002A2FEE" w:rsidP="002A2FEE">
            <w:pPr>
              <w:ind w:right="71"/>
              <w:jc w:val="center"/>
            </w:pPr>
            <w:r w:rsidRPr="002A2FEE">
              <w:rPr>
                <w:iCs/>
              </w:rPr>
              <w:t>0</w:t>
            </w:r>
          </w:p>
        </w:tc>
      </w:tr>
      <w:tr w:rsidR="00EF363F" w:rsidRPr="00FA5834" w:rsidTr="00BD0B63">
        <w:trPr>
          <w:jc w:val="center"/>
        </w:trPr>
        <w:tc>
          <w:tcPr>
            <w:tcW w:w="2216" w:type="dxa"/>
          </w:tcPr>
          <w:p w:rsidR="00EF363F" w:rsidRPr="00FA5834" w:rsidRDefault="00EF363F" w:rsidP="00BD0B63">
            <w:pPr>
              <w:ind w:right="71"/>
            </w:pPr>
            <w:r w:rsidRPr="00FA5834">
              <w:t>6. Detalizēts ieņēmumu un izdevu</w:t>
            </w:r>
            <w:r w:rsidRPr="00FA5834">
              <w:softHyphen/>
              <w:t>mu aprēķins (ja nepieciešams, detalizētu ieņēmumu un izdevumu aprēķinu var pievienot anotācijas pielikumā):</w:t>
            </w:r>
          </w:p>
        </w:tc>
        <w:tc>
          <w:tcPr>
            <w:tcW w:w="6857" w:type="dxa"/>
            <w:gridSpan w:val="5"/>
            <w:vMerge w:val="restart"/>
          </w:tcPr>
          <w:p w:rsidR="00014B7F" w:rsidRPr="00014B7F" w:rsidRDefault="00F775D8" w:rsidP="00014B7F">
            <w:pPr>
              <w:pStyle w:val="NormalWeb"/>
              <w:ind w:right="71"/>
              <w:jc w:val="both"/>
              <w:rPr>
                <w:color w:val="000000"/>
              </w:rPr>
            </w:pPr>
            <w:r>
              <w:rPr>
                <w:iCs/>
              </w:rPr>
              <w:t xml:space="preserve">Kompensācijas par </w:t>
            </w:r>
            <w:r w:rsidRPr="00FA5834">
              <w:t>īpaši aizsargājamo nemedījamo sugu un migrējošo sugu dzīvnieku nodarītajiem būtiskiem postījumiem</w:t>
            </w:r>
            <w:r>
              <w:t xml:space="preserve"> aprēķina saskaņā ar Ministru Kabineta noteikumiem. To apmēru aprēķina </w:t>
            </w:r>
            <w:r w:rsidR="00ED18F9">
              <w:t xml:space="preserve">atkarībā no </w:t>
            </w:r>
            <w:r>
              <w:t xml:space="preserve">postījumu </w:t>
            </w:r>
            <w:r w:rsidR="00ED18F9">
              <w:t>intensitātes, ko novērtē eksperts</w:t>
            </w:r>
            <w:r w:rsidR="00050566">
              <w:t xml:space="preserve">, </w:t>
            </w:r>
            <w:r w:rsidR="00ED18F9">
              <w:t>apsekojot postī</w:t>
            </w:r>
            <w:r w:rsidR="00794C76">
              <w:t>jumu skarto teritoriju. Tādējādi</w:t>
            </w:r>
            <w:r w:rsidR="00AB3B54">
              <w:t>,</w:t>
            </w:r>
            <w:r w:rsidR="00ED18F9">
              <w:t xml:space="preserve"> nav iespējams iepriekš veikt </w:t>
            </w:r>
            <w:r w:rsidR="00794C76">
              <w:t xml:space="preserve">detalizētu </w:t>
            </w:r>
            <w:r w:rsidR="00ED18F9">
              <w:t>aprēķi</w:t>
            </w:r>
            <w:r w:rsidR="00794C76">
              <w:t>nu par kompensāciju izmaksu</w:t>
            </w:r>
            <w:r w:rsidR="00ED18F9">
              <w:t xml:space="preserve"> apmēru</w:t>
            </w:r>
            <w:r w:rsidR="007A7DD2">
              <w:t xml:space="preserve">. </w:t>
            </w:r>
            <w:r w:rsidR="008F5523">
              <w:t>T</w:t>
            </w:r>
            <w:r w:rsidR="00455F0D">
              <w:t xml:space="preserve">iek paredzēts, ka finansējuma apmērs </w:t>
            </w:r>
            <w:r w:rsidR="008F5523">
              <w:t xml:space="preserve">kompensāciju izmaksām </w:t>
            </w:r>
            <w:r w:rsidR="009B7A97">
              <w:t>par 2015.–</w:t>
            </w:r>
            <w:r w:rsidR="00AD4609" w:rsidRPr="00D5493C">
              <w:t>201</w:t>
            </w:r>
            <w:r w:rsidR="00AD4609">
              <w:t>8</w:t>
            </w:r>
            <w:r w:rsidR="00455F0D">
              <w:t xml:space="preserve">.gadu </w:t>
            </w:r>
            <w:r w:rsidR="008F5523">
              <w:t>būs šim mērķim paredzētā finansējuma ietvaros,</w:t>
            </w:r>
            <w:r w:rsidR="007A7DD2">
              <w:t xml:space="preserve"> kura apmērs norādīts anotācijas III sadaļas </w:t>
            </w:r>
            <w:r w:rsidR="007A7DD2" w:rsidRPr="00661B6A">
              <w:t>2.punktā.</w:t>
            </w:r>
          </w:p>
          <w:p w:rsidR="00471D66" w:rsidRPr="00471D66" w:rsidRDefault="00471D66" w:rsidP="00471D66">
            <w:pPr>
              <w:pStyle w:val="NormalWeb"/>
              <w:ind w:right="71"/>
              <w:jc w:val="both"/>
              <w:rPr>
                <w:color w:val="FF0000"/>
              </w:rPr>
            </w:pPr>
          </w:p>
        </w:tc>
      </w:tr>
      <w:tr w:rsidR="00EF363F" w:rsidRPr="00FA5834" w:rsidTr="00BD0B63">
        <w:trPr>
          <w:jc w:val="center"/>
        </w:trPr>
        <w:tc>
          <w:tcPr>
            <w:tcW w:w="2216" w:type="dxa"/>
          </w:tcPr>
          <w:p w:rsidR="00EF363F" w:rsidRPr="00FA5834" w:rsidRDefault="00EF363F" w:rsidP="00BD0B63">
            <w:pPr>
              <w:ind w:right="71"/>
            </w:pPr>
            <w:r w:rsidRPr="00FA5834">
              <w:t>6.1. detalizēts ieņēmumu aprēķins</w:t>
            </w:r>
          </w:p>
        </w:tc>
        <w:tc>
          <w:tcPr>
            <w:tcW w:w="6857" w:type="dxa"/>
            <w:gridSpan w:val="5"/>
            <w:vMerge/>
          </w:tcPr>
          <w:p w:rsidR="00EF363F" w:rsidRPr="00FA5834" w:rsidRDefault="00EF363F" w:rsidP="00BD0B63">
            <w:pPr>
              <w:pStyle w:val="naisf"/>
              <w:spacing w:before="0" w:after="0"/>
              <w:ind w:right="71" w:firstLine="0"/>
              <w:rPr>
                <w:b/>
                <w:i/>
              </w:rPr>
            </w:pPr>
          </w:p>
        </w:tc>
      </w:tr>
      <w:tr w:rsidR="00EF363F" w:rsidRPr="00FA5834" w:rsidTr="00BD0B63">
        <w:trPr>
          <w:jc w:val="center"/>
        </w:trPr>
        <w:tc>
          <w:tcPr>
            <w:tcW w:w="2216" w:type="dxa"/>
          </w:tcPr>
          <w:p w:rsidR="00EF363F" w:rsidRPr="00FA5834" w:rsidRDefault="00EF363F" w:rsidP="00BD0B63">
            <w:pPr>
              <w:ind w:right="71"/>
            </w:pPr>
            <w:r w:rsidRPr="00FA5834">
              <w:t>6.2. detalizēts izdevumu aprēķins</w:t>
            </w:r>
          </w:p>
        </w:tc>
        <w:tc>
          <w:tcPr>
            <w:tcW w:w="6857" w:type="dxa"/>
            <w:gridSpan w:val="5"/>
            <w:vMerge/>
          </w:tcPr>
          <w:p w:rsidR="00EF363F" w:rsidRPr="00FA5834" w:rsidRDefault="00EF363F" w:rsidP="00BD0B63">
            <w:pPr>
              <w:pStyle w:val="naisf"/>
              <w:spacing w:before="0" w:after="0"/>
              <w:ind w:right="71" w:firstLine="0"/>
              <w:rPr>
                <w:b/>
                <w:i/>
              </w:rPr>
            </w:pPr>
          </w:p>
        </w:tc>
      </w:tr>
      <w:tr w:rsidR="00EF363F" w:rsidRPr="00FA5834" w:rsidTr="00BD0B63">
        <w:trPr>
          <w:jc w:val="center"/>
        </w:trPr>
        <w:tc>
          <w:tcPr>
            <w:tcW w:w="2216" w:type="dxa"/>
          </w:tcPr>
          <w:p w:rsidR="00EF363F" w:rsidRPr="00FA5834" w:rsidRDefault="00EF363F" w:rsidP="00BD0B63">
            <w:pPr>
              <w:ind w:right="71"/>
            </w:pPr>
            <w:r w:rsidRPr="00FA5834">
              <w:t>7. Cita informācija</w:t>
            </w:r>
          </w:p>
        </w:tc>
        <w:tc>
          <w:tcPr>
            <w:tcW w:w="6857" w:type="dxa"/>
            <w:gridSpan w:val="5"/>
          </w:tcPr>
          <w:p w:rsidR="00BC3FA0" w:rsidRDefault="00957FFB" w:rsidP="00957FFB">
            <w:pPr>
              <w:tabs>
                <w:tab w:val="left" w:pos="993"/>
                <w:tab w:val="left" w:pos="1134"/>
              </w:tabs>
              <w:jc w:val="both"/>
            </w:pPr>
            <w:r>
              <w:t xml:space="preserve">Kompensācijas par </w:t>
            </w:r>
            <w:r w:rsidRPr="00FA5834">
              <w:rPr>
                <w:color w:val="000000"/>
              </w:rPr>
              <w:t>īpaši aizsargājamo nemedījamo sugu un migrējošo sugu dzīvnieku nodarītajiem būtiskiem postījumiem</w:t>
            </w:r>
            <w:r>
              <w:rPr>
                <w:color w:val="000000"/>
              </w:rPr>
              <w:t xml:space="preserve"> paredzēts izmaksāt no </w:t>
            </w:r>
            <w:r>
              <w:t>Dabas aizsardzības pārvaldes līdzekļiem, kas paredzēti kompensāciju izmaksai par saimnieciskās darbības ierobežojumiem īpaši aizsargājamās dabas teritorijās un mikroliegumos 2015.–</w:t>
            </w:r>
            <w:r w:rsidR="00AD4609">
              <w:t>2018</w:t>
            </w:r>
            <w:r>
              <w:t>.</w:t>
            </w:r>
            <w:r w:rsidRPr="00511E37">
              <w:t>gada</w:t>
            </w:r>
            <w:r>
              <w:t xml:space="preserve">m. </w:t>
            </w:r>
            <w:r w:rsidR="00050566">
              <w:t xml:space="preserve">Šo kompensāciju izmaksām, saskaņā ar likumu </w:t>
            </w:r>
            <w:r w:rsidR="00BC3FA0">
              <w:t>Par kompensāciju par saimnieciskās darbības ierobežojumiem aizsargājamās teritorijās,</w:t>
            </w:r>
            <w:r w:rsidR="00050566">
              <w:t xml:space="preserve"> </w:t>
            </w:r>
            <w:r>
              <w:t xml:space="preserve">ir pieejami 658 605 </w:t>
            </w:r>
            <w:r w:rsidRPr="00F11B1C">
              <w:rPr>
                <w:i/>
              </w:rPr>
              <w:t>euro</w:t>
            </w:r>
            <w:r>
              <w:t xml:space="preserve"> katru gadu</w:t>
            </w:r>
            <w:r w:rsidR="00050566">
              <w:t xml:space="preserve">. </w:t>
            </w:r>
          </w:p>
          <w:p w:rsidR="00957FFB" w:rsidRDefault="00BC3FA0" w:rsidP="00957FFB">
            <w:pPr>
              <w:tabs>
                <w:tab w:val="left" w:pos="993"/>
                <w:tab w:val="left" w:pos="1134"/>
              </w:tabs>
              <w:jc w:val="both"/>
            </w:pPr>
            <w:r>
              <w:t xml:space="preserve">Ņemot vērā iepriekšējos gadu pieredzi, kad kompensāciju </w:t>
            </w:r>
            <w:r w:rsidR="00957FFB">
              <w:t xml:space="preserve">izmaksai nepieciešamais līdzekļu apjoms indikatīvi ir </w:t>
            </w:r>
            <w:r>
              <w:t xml:space="preserve">bijis </w:t>
            </w:r>
            <w:r w:rsidR="00957FFB">
              <w:t xml:space="preserve">367 231 </w:t>
            </w:r>
            <w:r w:rsidR="00957FFB" w:rsidRPr="00F11B1C">
              <w:rPr>
                <w:i/>
              </w:rPr>
              <w:t>euro</w:t>
            </w:r>
            <w:r w:rsidR="00957FFB">
              <w:t xml:space="preserve"> katru gadu</w:t>
            </w:r>
            <w:r>
              <w:t xml:space="preserve">, </w:t>
            </w:r>
            <w:r w:rsidR="00957FFB">
              <w:t xml:space="preserve">pārpalikumu, kas </w:t>
            </w:r>
            <w:r w:rsidR="00014B7F">
              <w:t xml:space="preserve">ir </w:t>
            </w:r>
            <w:r w:rsidR="00957FFB">
              <w:t xml:space="preserve">291 374 </w:t>
            </w:r>
            <w:r w:rsidR="00957FFB" w:rsidRPr="00F11B1C">
              <w:rPr>
                <w:i/>
              </w:rPr>
              <w:t>euro</w:t>
            </w:r>
            <w:r>
              <w:t xml:space="preserve"> apmērā katru gadu, </w:t>
            </w:r>
            <w:r w:rsidR="00957FFB">
              <w:t xml:space="preserve">pārdalīt kompensācijām par </w:t>
            </w:r>
            <w:r w:rsidR="00957FFB" w:rsidRPr="00FA5834">
              <w:rPr>
                <w:color w:val="000000"/>
              </w:rPr>
              <w:t>īpaši aizsargājamo nemedījamo sugu un migrējošo sugu dzīvnieku nodarītajiem būtiskiem postījumiem</w:t>
            </w:r>
            <w:r w:rsidR="00014B7F">
              <w:rPr>
                <w:color w:val="000000"/>
              </w:rPr>
              <w:t xml:space="preserve">, tādējādi neprasot </w:t>
            </w:r>
            <w:r w:rsidR="00AD5382">
              <w:rPr>
                <w:color w:val="000000"/>
              </w:rPr>
              <w:t xml:space="preserve">papildus </w:t>
            </w:r>
            <w:r w:rsidR="00014B7F">
              <w:rPr>
                <w:color w:val="000000"/>
              </w:rPr>
              <w:t xml:space="preserve">atsevišķus līdzekļus no valsts budžeta. </w:t>
            </w:r>
          </w:p>
          <w:p w:rsidR="00EF363F" w:rsidRPr="00FA5834" w:rsidRDefault="00EF363F" w:rsidP="001B43BE">
            <w:pPr>
              <w:pStyle w:val="naisf"/>
              <w:tabs>
                <w:tab w:val="left" w:pos="4644"/>
              </w:tabs>
              <w:spacing w:before="0" w:after="0"/>
              <w:ind w:right="71" w:firstLine="0"/>
            </w:pPr>
          </w:p>
        </w:tc>
      </w:tr>
    </w:tbl>
    <w:p w:rsidR="00DC389A" w:rsidRPr="00FA5834" w:rsidRDefault="00DC389A" w:rsidP="00BD0B63">
      <w:pPr>
        <w:pStyle w:val="naisf"/>
        <w:spacing w:before="0" w:after="0"/>
        <w:ind w:right="71"/>
        <w:rPr>
          <w:i/>
        </w:rPr>
      </w:pPr>
    </w:p>
    <w:p w:rsidR="00DC389A" w:rsidRPr="00FA5834" w:rsidRDefault="00DC389A" w:rsidP="00BD0B63">
      <w:pPr>
        <w:pStyle w:val="naisf"/>
        <w:spacing w:before="0" w:after="0"/>
        <w:ind w:right="71"/>
      </w:pPr>
    </w:p>
    <w:tbl>
      <w:tblPr>
        <w:tblW w:w="9201" w:type="dxa"/>
        <w:tblInd w:w="108" w:type="dxa"/>
        <w:tblLook w:val="01E0" w:firstRow="1" w:lastRow="1" w:firstColumn="1" w:lastColumn="1" w:noHBand="0" w:noVBand="0"/>
      </w:tblPr>
      <w:tblGrid>
        <w:gridCol w:w="65"/>
        <w:gridCol w:w="752"/>
        <w:gridCol w:w="2155"/>
        <w:gridCol w:w="6208"/>
        <w:gridCol w:w="21"/>
      </w:tblGrid>
      <w:tr w:rsidR="00DC389A" w:rsidRPr="00FA5834" w:rsidTr="00E83EA0">
        <w:trPr>
          <w:gridAfter w:val="1"/>
          <w:wAfter w:w="21" w:type="dxa"/>
          <w:trHeight w:val="652"/>
        </w:trPr>
        <w:tc>
          <w:tcPr>
            <w:tcW w:w="9180" w:type="dxa"/>
            <w:gridSpan w:val="4"/>
            <w:tcBorders>
              <w:top w:val="single" w:sz="4" w:space="0" w:color="auto"/>
              <w:left w:val="single" w:sz="4" w:space="0" w:color="auto"/>
              <w:bottom w:val="single" w:sz="4" w:space="0" w:color="auto"/>
              <w:right w:val="single" w:sz="4" w:space="0" w:color="auto"/>
            </w:tcBorders>
          </w:tcPr>
          <w:p w:rsidR="00DC389A" w:rsidRPr="00FA5834" w:rsidRDefault="00DC389A" w:rsidP="00E62B66">
            <w:pPr>
              <w:pStyle w:val="naisnod"/>
              <w:tabs>
                <w:tab w:val="left" w:pos="8892"/>
              </w:tabs>
              <w:spacing w:before="0" w:after="0"/>
              <w:ind w:right="71"/>
            </w:pPr>
            <w:r w:rsidRPr="00FA5834">
              <w:lastRenderedPageBreak/>
              <w:t>IV. Tiesību akta projekta ietekme uz spēkā esošo tiesību normu sistēmu</w:t>
            </w:r>
          </w:p>
        </w:tc>
      </w:tr>
      <w:tr w:rsidR="00DC389A" w:rsidRPr="00FA5834" w:rsidTr="00E83EA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 w:type="dxa"/>
          <w:jc w:val="center"/>
        </w:trPr>
        <w:tc>
          <w:tcPr>
            <w:tcW w:w="752" w:type="dxa"/>
          </w:tcPr>
          <w:p w:rsidR="00DC389A" w:rsidRPr="00FA5834" w:rsidRDefault="00DC389A" w:rsidP="00BD0B63">
            <w:pPr>
              <w:pStyle w:val="naiskr"/>
              <w:tabs>
                <w:tab w:val="left" w:pos="2628"/>
              </w:tabs>
              <w:spacing w:before="0" w:after="0"/>
              <w:ind w:right="71"/>
              <w:jc w:val="both"/>
              <w:rPr>
                <w:iCs/>
              </w:rPr>
            </w:pPr>
            <w:r w:rsidRPr="00FA5834">
              <w:rPr>
                <w:iCs/>
              </w:rPr>
              <w:t>1.</w:t>
            </w:r>
          </w:p>
        </w:tc>
        <w:tc>
          <w:tcPr>
            <w:tcW w:w="2155" w:type="dxa"/>
          </w:tcPr>
          <w:p w:rsidR="00DC389A" w:rsidRPr="00FA5834" w:rsidRDefault="00E83EA0" w:rsidP="00BD0B63">
            <w:pPr>
              <w:pStyle w:val="naiskr"/>
              <w:tabs>
                <w:tab w:val="left" w:pos="2628"/>
              </w:tabs>
              <w:spacing w:before="0" w:after="0"/>
              <w:ind w:right="71"/>
              <w:jc w:val="both"/>
              <w:rPr>
                <w:iCs/>
              </w:rPr>
            </w:pPr>
            <w:r>
              <w:t>Nepieciešamie saistītie tiesību aktu projekti</w:t>
            </w:r>
          </w:p>
        </w:tc>
        <w:tc>
          <w:tcPr>
            <w:tcW w:w="6229" w:type="dxa"/>
            <w:gridSpan w:val="2"/>
          </w:tcPr>
          <w:p w:rsidR="00DC389A" w:rsidRPr="00FA5834" w:rsidRDefault="005C6DCD" w:rsidP="008514AB">
            <w:pPr>
              <w:pStyle w:val="NormalWeb"/>
              <w:ind w:right="71"/>
              <w:jc w:val="both"/>
              <w:rPr>
                <w:iCs/>
              </w:rPr>
            </w:pPr>
            <w:r>
              <w:rPr>
                <w:iCs/>
              </w:rPr>
              <w:t>Izdarot likuma grozījumus</w:t>
            </w:r>
            <w:r w:rsidR="00120222">
              <w:rPr>
                <w:iCs/>
              </w:rPr>
              <w:t>,</w:t>
            </w:r>
            <w:r w:rsidR="008514AB">
              <w:rPr>
                <w:iCs/>
              </w:rPr>
              <w:t xml:space="preserve"> tiks izdoti jauni </w:t>
            </w:r>
            <w:r w:rsidR="00A2035B">
              <w:rPr>
                <w:iCs/>
              </w:rPr>
              <w:t>Ministru k</w:t>
            </w:r>
            <w:r w:rsidR="00894DEB">
              <w:rPr>
                <w:iCs/>
              </w:rPr>
              <w:t>abineta noteikumi</w:t>
            </w:r>
            <w:r w:rsidR="00A2035B">
              <w:rPr>
                <w:iCs/>
              </w:rPr>
              <w:t xml:space="preserve"> </w:t>
            </w:r>
            <w:r w:rsidR="005C6210">
              <w:rPr>
                <w:iCs/>
              </w:rPr>
              <w:t>Nr</w:t>
            </w:r>
            <w:r w:rsidR="00894DEB">
              <w:rPr>
                <w:iCs/>
              </w:rPr>
              <w:t>.</w:t>
            </w:r>
            <w:r w:rsidR="00A2035B">
              <w:rPr>
                <w:iCs/>
              </w:rPr>
              <w:t>788 „</w:t>
            </w:r>
            <w:r w:rsidR="00A2035B">
              <w:t>Kārtība, kādā zemes lietotājiem nosakāmi to zaudējumu apmēri, kas saistīti ar īpaši aizsargājamo nemedījamo sugu un migrējošo sugu dzīvnieku nodarītajiem būtiskiem postījumiem</w:t>
            </w:r>
            <w:r w:rsidR="00A2035B">
              <w:rPr>
                <w:iCs/>
              </w:rPr>
              <w:t>”.</w:t>
            </w:r>
            <w:r w:rsidR="00894DEB">
              <w:rPr>
                <w:iCs/>
              </w:rPr>
              <w:t xml:space="preserve"> </w:t>
            </w:r>
            <w:r w:rsidR="008514AB">
              <w:rPr>
                <w:iCs/>
              </w:rPr>
              <w:t xml:space="preserve">Tie noteiks </w:t>
            </w:r>
            <w:r w:rsidR="00894DEB">
              <w:rPr>
                <w:iCs/>
              </w:rPr>
              <w:t>citu atbildīgo iestādi un precizēs kārtību, kādā zemes lietotājiem nosakāmi to zaudējuma apmēri, kas saistīti ar īpaši aizsargājamo nemedījamo sugu un migrējošo sugu dzīvnieku nodarītajiem būtiskiem postījumiem.</w:t>
            </w:r>
          </w:p>
        </w:tc>
      </w:tr>
      <w:tr w:rsidR="00DC389A" w:rsidRPr="00FA5834" w:rsidTr="00E83EA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 w:type="dxa"/>
          <w:jc w:val="center"/>
        </w:trPr>
        <w:tc>
          <w:tcPr>
            <w:tcW w:w="752" w:type="dxa"/>
          </w:tcPr>
          <w:p w:rsidR="00DC389A" w:rsidRPr="00FA5834" w:rsidRDefault="00DC389A" w:rsidP="00BD0B63">
            <w:pPr>
              <w:pStyle w:val="naiskr"/>
              <w:tabs>
                <w:tab w:val="left" w:pos="2628"/>
              </w:tabs>
              <w:spacing w:before="0" w:after="0"/>
              <w:ind w:right="71"/>
              <w:jc w:val="both"/>
              <w:rPr>
                <w:iCs/>
              </w:rPr>
            </w:pPr>
            <w:r w:rsidRPr="00FA5834">
              <w:rPr>
                <w:iCs/>
              </w:rPr>
              <w:t>2.</w:t>
            </w:r>
          </w:p>
        </w:tc>
        <w:tc>
          <w:tcPr>
            <w:tcW w:w="2155" w:type="dxa"/>
          </w:tcPr>
          <w:p w:rsidR="00DC389A" w:rsidRPr="00FA5834" w:rsidRDefault="00E83EA0" w:rsidP="00BD0B63">
            <w:pPr>
              <w:pStyle w:val="naiskr"/>
              <w:tabs>
                <w:tab w:val="left" w:pos="2628"/>
              </w:tabs>
              <w:spacing w:before="0" w:after="0"/>
              <w:ind w:right="71"/>
              <w:jc w:val="both"/>
              <w:rPr>
                <w:iCs/>
              </w:rPr>
            </w:pPr>
            <w:r>
              <w:rPr>
                <w:iCs/>
              </w:rPr>
              <w:t>Atbildīgā institūcija</w:t>
            </w:r>
          </w:p>
        </w:tc>
        <w:tc>
          <w:tcPr>
            <w:tcW w:w="6229" w:type="dxa"/>
            <w:gridSpan w:val="2"/>
          </w:tcPr>
          <w:p w:rsidR="00DC389A" w:rsidRPr="00FA5834" w:rsidRDefault="00E83EA0" w:rsidP="00BD0B63">
            <w:pPr>
              <w:pStyle w:val="naiskr"/>
              <w:tabs>
                <w:tab w:val="left" w:pos="2628"/>
              </w:tabs>
              <w:spacing w:before="0" w:after="0"/>
              <w:ind w:right="71"/>
              <w:jc w:val="both"/>
              <w:rPr>
                <w:iCs/>
              </w:rPr>
            </w:pPr>
            <w:r>
              <w:rPr>
                <w:color w:val="000000"/>
              </w:rPr>
              <w:t>Vides aizsardzības un reģionālās attīstības ministrija</w:t>
            </w:r>
          </w:p>
        </w:tc>
      </w:tr>
      <w:tr w:rsidR="00E83EA0" w:rsidRPr="00FA5834" w:rsidTr="00E83EA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 w:type="dxa"/>
          <w:jc w:val="center"/>
        </w:trPr>
        <w:tc>
          <w:tcPr>
            <w:tcW w:w="752" w:type="dxa"/>
          </w:tcPr>
          <w:p w:rsidR="00E83EA0" w:rsidRPr="00FA5834" w:rsidRDefault="00E83EA0" w:rsidP="00BD0B63">
            <w:pPr>
              <w:pStyle w:val="naiskr"/>
              <w:tabs>
                <w:tab w:val="left" w:pos="2628"/>
              </w:tabs>
              <w:spacing w:before="0" w:after="0"/>
              <w:ind w:right="71"/>
              <w:jc w:val="both"/>
              <w:rPr>
                <w:iCs/>
              </w:rPr>
            </w:pPr>
            <w:r>
              <w:rPr>
                <w:iCs/>
              </w:rPr>
              <w:t>3.</w:t>
            </w:r>
          </w:p>
        </w:tc>
        <w:tc>
          <w:tcPr>
            <w:tcW w:w="2155" w:type="dxa"/>
          </w:tcPr>
          <w:p w:rsidR="00E83EA0" w:rsidRPr="00FA5834" w:rsidRDefault="00E83EA0" w:rsidP="00250CB9">
            <w:pPr>
              <w:pStyle w:val="naiskr"/>
              <w:tabs>
                <w:tab w:val="left" w:pos="2628"/>
              </w:tabs>
              <w:spacing w:before="0" w:after="0"/>
              <w:ind w:right="71"/>
              <w:jc w:val="both"/>
              <w:rPr>
                <w:iCs/>
              </w:rPr>
            </w:pPr>
            <w:r w:rsidRPr="00FA5834">
              <w:t>Cita informācija</w:t>
            </w:r>
          </w:p>
        </w:tc>
        <w:tc>
          <w:tcPr>
            <w:tcW w:w="6229" w:type="dxa"/>
            <w:gridSpan w:val="2"/>
          </w:tcPr>
          <w:p w:rsidR="00E83EA0" w:rsidRPr="00C31EC2" w:rsidRDefault="00E83EA0" w:rsidP="00C31EC2">
            <w:pPr>
              <w:spacing w:after="120"/>
              <w:jc w:val="both"/>
              <w:rPr>
                <w:color w:val="000000"/>
              </w:rPr>
            </w:pPr>
          </w:p>
        </w:tc>
      </w:tr>
    </w:tbl>
    <w:p w:rsidR="00DC389A" w:rsidRPr="00FA5834" w:rsidRDefault="00DC389A" w:rsidP="00BD0B63">
      <w:pPr>
        <w:pStyle w:val="naisf"/>
        <w:spacing w:before="0" w:after="0"/>
        <w:ind w:right="71"/>
      </w:pPr>
    </w:p>
    <w:p w:rsidR="00DC389A" w:rsidRPr="00FA5834" w:rsidRDefault="00DC389A" w:rsidP="00BD0B63">
      <w:pPr>
        <w:pStyle w:val="naisf"/>
        <w:spacing w:before="0" w:after="0"/>
        <w:ind w:right="71"/>
      </w:pPr>
    </w:p>
    <w:tbl>
      <w:tblPr>
        <w:tblW w:w="9193" w:type="dxa"/>
        <w:tblInd w:w="108" w:type="dxa"/>
        <w:tblLook w:val="01E0" w:firstRow="1" w:lastRow="1" w:firstColumn="1" w:lastColumn="1" w:noHBand="0" w:noVBand="0"/>
      </w:tblPr>
      <w:tblGrid>
        <w:gridCol w:w="20"/>
        <w:gridCol w:w="9160"/>
        <w:gridCol w:w="13"/>
      </w:tblGrid>
      <w:tr w:rsidR="00DC389A" w:rsidRPr="00FA5834" w:rsidTr="00E83EA0">
        <w:trPr>
          <w:gridAfter w:val="1"/>
          <w:wAfter w:w="13" w:type="dxa"/>
          <w:trHeight w:val="652"/>
        </w:trPr>
        <w:tc>
          <w:tcPr>
            <w:tcW w:w="9180" w:type="dxa"/>
            <w:gridSpan w:val="2"/>
            <w:tcBorders>
              <w:top w:val="single" w:sz="4" w:space="0" w:color="auto"/>
              <w:left w:val="single" w:sz="4" w:space="0" w:color="auto"/>
              <w:bottom w:val="single" w:sz="4" w:space="0" w:color="auto"/>
              <w:right w:val="single" w:sz="4" w:space="0" w:color="auto"/>
            </w:tcBorders>
          </w:tcPr>
          <w:p w:rsidR="00DC389A" w:rsidRPr="00FA5834" w:rsidRDefault="00DC389A" w:rsidP="00E62B66">
            <w:pPr>
              <w:pStyle w:val="naisnod"/>
              <w:spacing w:before="0" w:after="0"/>
              <w:ind w:right="71" w:hanging="72"/>
            </w:pPr>
            <w:r w:rsidRPr="00FA5834">
              <w:t>V. Tiesību akta projekta atbilstība Latvijas Republikas starptautiskajām saistībām</w:t>
            </w:r>
          </w:p>
        </w:tc>
      </w:tr>
      <w:tr w:rsidR="00DC389A" w:rsidRPr="00FA5834" w:rsidTr="00E83EA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jc w:val="center"/>
        </w:trPr>
        <w:tc>
          <w:tcPr>
            <w:tcW w:w="9173" w:type="dxa"/>
            <w:gridSpan w:val="2"/>
          </w:tcPr>
          <w:p w:rsidR="00DC389A" w:rsidRPr="00FA5834" w:rsidRDefault="00DC389A" w:rsidP="00E62B66">
            <w:pPr>
              <w:pStyle w:val="naiskr"/>
              <w:tabs>
                <w:tab w:val="left" w:pos="2628"/>
              </w:tabs>
              <w:spacing w:before="0" w:after="0"/>
              <w:ind w:right="71" w:hanging="72"/>
              <w:jc w:val="center"/>
              <w:rPr>
                <w:iCs/>
              </w:rPr>
            </w:pPr>
            <w:r w:rsidRPr="00FA5834">
              <w:rPr>
                <w:iCs/>
              </w:rPr>
              <w:t>Projekts šo jomu neskar.</w:t>
            </w:r>
          </w:p>
        </w:tc>
      </w:tr>
    </w:tbl>
    <w:p w:rsidR="00EF363F" w:rsidRPr="00FA5834" w:rsidRDefault="00EF363F" w:rsidP="00E62B66">
      <w:pPr>
        <w:pStyle w:val="naisf"/>
        <w:spacing w:before="0" w:after="0"/>
        <w:ind w:right="71" w:firstLine="0"/>
        <w:rPr>
          <w:b/>
        </w:rPr>
      </w:pPr>
    </w:p>
    <w:tbl>
      <w:tblPr>
        <w:tblW w:w="9176" w:type="dxa"/>
        <w:jc w:val="center"/>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4"/>
        <w:gridCol w:w="4148"/>
        <w:gridCol w:w="4494"/>
      </w:tblGrid>
      <w:tr w:rsidR="00647E32" w:rsidRPr="00FA5834" w:rsidTr="00E62B66">
        <w:trPr>
          <w:jc w:val="center"/>
        </w:trPr>
        <w:tc>
          <w:tcPr>
            <w:tcW w:w="9176" w:type="dxa"/>
            <w:gridSpan w:val="3"/>
          </w:tcPr>
          <w:p w:rsidR="00647E32" w:rsidRPr="00FA5834" w:rsidRDefault="00647E32" w:rsidP="00BD0B63">
            <w:pPr>
              <w:pStyle w:val="naisnod"/>
              <w:spacing w:before="0" w:after="0"/>
              <w:ind w:right="71"/>
            </w:pPr>
            <w:r w:rsidRPr="00FA5834">
              <w:t>VI. Sabiedrības līdzdalība un šīs līdzdalības rezultāti</w:t>
            </w:r>
          </w:p>
        </w:tc>
      </w:tr>
      <w:tr w:rsidR="00647E32" w:rsidRPr="00FA5834" w:rsidTr="00E62B66">
        <w:trPr>
          <w:trHeight w:val="553"/>
          <w:jc w:val="center"/>
        </w:trPr>
        <w:tc>
          <w:tcPr>
            <w:tcW w:w="534" w:type="dxa"/>
          </w:tcPr>
          <w:p w:rsidR="00647E32" w:rsidRPr="00FA5834" w:rsidRDefault="00647E32" w:rsidP="00BD0B63">
            <w:pPr>
              <w:pStyle w:val="naiskr"/>
              <w:spacing w:before="0" w:after="0"/>
              <w:ind w:right="71"/>
              <w:rPr>
                <w:bCs/>
              </w:rPr>
            </w:pPr>
            <w:r w:rsidRPr="00FA5834">
              <w:rPr>
                <w:bCs/>
              </w:rPr>
              <w:t>1.</w:t>
            </w:r>
          </w:p>
        </w:tc>
        <w:tc>
          <w:tcPr>
            <w:tcW w:w="4148" w:type="dxa"/>
          </w:tcPr>
          <w:p w:rsidR="00647E32" w:rsidRPr="00FA5834" w:rsidRDefault="006E3F2A" w:rsidP="00BD0B63">
            <w:pPr>
              <w:pStyle w:val="naiskr"/>
              <w:tabs>
                <w:tab w:val="left" w:pos="170"/>
              </w:tabs>
              <w:spacing w:before="0" w:after="0"/>
              <w:ind w:right="71"/>
            </w:pPr>
            <w:r>
              <w:t>Plānotās sabiedrības līdzdalības un komunikācijas aktivitātes saistībā ar projektu</w:t>
            </w:r>
          </w:p>
        </w:tc>
        <w:tc>
          <w:tcPr>
            <w:tcW w:w="4494" w:type="dxa"/>
          </w:tcPr>
          <w:p w:rsidR="000F5127" w:rsidRDefault="000F5127" w:rsidP="000F5127">
            <w:pPr>
              <w:jc w:val="both"/>
            </w:pPr>
            <w:r>
              <w:t xml:space="preserve">Pēc </w:t>
            </w:r>
            <w:r w:rsidR="00751FB7">
              <w:t>likum</w:t>
            </w:r>
            <w:r>
              <w:t xml:space="preserve">projekta izsludināšanas paredzēts sabiedrību informēt ar preses relīzes starpniecību. </w:t>
            </w:r>
            <w:r>
              <w:rPr>
                <w:color w:val="000000"/>
              </w:rPr>
              <w:t xml:space="preserve">Vides aizsardzības un reģionālās attīstības ministrija publicēs </w:t>
            </w:r>
            <w:r w:rsidR="00751FB7">
              <w:rPr>
                <w:color w:val="000000"/>
              </w:rPr>
              <w:t>liku</w:t>
            </w:r>
            <w:r w:rsidR="000E5503">
              <w:rPr>
                <w:color w:val="000000"/>
              </w:rPr>
              <w:t xml:space="preserve">mprojektu arī savā </w:t>
            </w:r>
            <w:r>
              <w:rPr>
                <w:color w:val="000000"/>
              </w:rPr>
              <w:t>tīmekļa vietnē.</w:t>
            </w:r>
          </w:p>
          <w:p w:rsidR="00647E32" w:rsidRPr="00FA5834" w:rsidRDefault="000F5127" w:rsidP="000F5127">
            <w:pPr>
              <w:pStyle w:val="naiskr"/>
              <w:spacing w:before="0" w:after="0"/>
              <w:ind w:right="71"/>
              <w:jc w:val="both"/>
            </w:pPr>
            <w:r>
              <w:t xml:space="preserve">Pēc </w:t>
            </w:r>
            <w:r w:rsidR="00751FB7">
              <w:t>likum</w:t>
            </w:r>
            <w:r>
              <w:t>projekta pieņemšanas plānots sabiedrību informēt ar Vides aizsardzības un reģionālās attīstības ministrijas preses relīzes starpniecību.</w:t>
            </w:r>
          </w:p>
        </w:tc>
      </w:tr>
      <w:tr w:rsidR="00647E32" w:rsidRPr="00FA5834" w:rsidTr="00E62B66">
        <w:trPr>
          <w:trHeight w:val="339"/>
          <w:jc w:val="center"/>
        </w:trPr>
        <w:tc>
          <w:tcPr>
            <w:tcW w:w="534" w:type="dxa"/>
          </w:tcPr>
          <w:p w:rsidR="00647E32" w:rsidRPr="00FA5834" w:rsidRDefault="00647E32" w:rsidP="00BD0B63">
            <w:pPr>
              <w:pStyle w:val="naiskr"/>
              <w:spacing w:before="0" w:after="0"/>
              <w:ind w:right="71"/>
              <w:rPr>
                <w:bCs/>
              </w:rPr>
            </w:pPr>
            <w:r w:rsidRPr="00FA5834">
              <w:rPr>
                <w:bCs/>
              </w:rPr>
              <w:t>2.</w:t>
            </w:r>
          </w:p>
        </w:tc>
        <w:tc>
          <w:tcPr>
            <w:tcW w:w="4148" w:type="dxa"/>
          </w:tcPr>
          <w:p w:rsidR="00647E32" w:rsidRPr="00FA5834" w:rsidRDefault="00647E32" w:rsidP="00BD0B63">
            <w:pPr>
              <w:pStyle w:val="naiskr"/>
              <w:spacing w:before="0" w:after="0"/>
              <w:ind w:right="71"/>
            </w:pPr>
            <w:r w:rsidRPr="00FA5834">
              <w:t xml:space="preserve">Sabiedrības līdzdalība projekta izstrādē </w:t>
            </w:r>
          </w:p>
        </w:tc>
        <w:tc>
          <w:tcPr>
            <w:tcW w:w="4494" w:type="dxa"/>
          </w:tcPr>
          <w:p w:rsidR="00647E32" w:rsidRPr="00FA5834" w:rsidRDefault="000F5127" w:rsidP="00BD0B63">
            <w:pPr>
              <w:pStyle w:val="naiskr"/>
              <w:spacing w:before="0" w:after="0"/>
              <w:ind w:right="71"/>
              <w:jc w:val="both"/>
            </w:pPr>
            <w:r>
              <w:rPr>
                <w:iCs/>
              </w:rPr>
              <w:t>Projekts šo jomu neskar.</w:t>
            </w:r>
          </w:p>
        </w:tc>
      </w:tr>
      <w:tr w:rsidR="00647E32" w:rsidRPr="00FA5834" w:rsidTr="00E62B66">
        <w:trPr>
          <w:trHeight w:val="375"/>
          <w:jc w:val="center"/>
        </w:trPr>
        <w:tc>
          <w:tcPr>
            <w:tcW w:w="534" w:type="dxa"/>
          </w:tcPr>
          <w:p w:rsidR="00647E32" w:rsidRPr="00FA5834" w:rsidRDefault="00647E32" w:rsidP="00BD0B63">
            <w:pPr>
              <w:pStyle w:val="naiskr"/>
              <w:spacing w:before="0" w:after="0"/>
              <w:ind w:right="71"/>
              <w:rPr>
                <w:bCs/>
              </w:rPr>
            </w:pPr>
            <w:r w:rsidRPr="00FA5834">
              <w:rPr>
                <w:bCs/>
              </w:rPr>
              <w:t>3.</w:t>
            </w:r>
          </w:p>
        </w:tc>
        <w:tc>
          <w:tcPr>
            <w:tcW w:w="4148" w:type="dxa"/>
          </w:tcPr>
          <w:p w:rsidR="00647E32" w:rsidRPr="00FA5834" w:rsidRDefault="00647E32" w:rsidP="00BD0B63">
            <w:pPr>
              <w:pStyle w:val="naiskr"/>
              <w:spacing w:before="0" w:after="0"/>
              <w:ind w:right="71"/>
            </w:pPr>
            <w:r w:rsidRPr="00FA5834">
              <w:t xml:space="preserve">Sabiedrības līdzdalības rezultāti </w:t>
            </w:r>
          </w:p>
        </w:tc>
        <w:tc>
          <w:tcPr>
            <w:tcW w:w="4494" w:type="dxa"/>
          </w:tcPr>
          <w:p w:rsidR="00647E32" w:rsidRPr="00FA5834" w:rsidRDefault="000F5127" w:rsidP="00BD0B63">
            <w:pPr>
              <w:pStyle w:val="naiskr"/>
              <w:spacing w:before="0" w:after="0"/>
              <w:ind w:right="71"/>
              <w:jc w:val="both"/>
            </w:pPr>
            <w:r>
              <w:rPr>
                <w:iCs/>
              </w:rPr>
              <w:t>Projekts šo jomu neskar.</w:t>
            </w:r>
          </w:p>
        </w:tc>
      </w:tr>
      <w:tr w:rsidR="00647E32" w:rsidRPr="00FA5834" w:rsidTr="00E62B66">
        <w:trPr>
          <w:trHeight w:val="476"/>
          <w:jc w:val="center"/>
        </w:trPr>
        <w:tc>
          <w:tcPr>
            <w:tcW w:w="534" w:type="dxa"/>
          </w:tcPr>
          <w:p w:rsidR="00647E32" w:rsidRPr="00FA5834" w:rsidRDefault="006E3F2A" w:rsidP="00BD0B63">
            <w:pPr>
              <w:pStyle w:val="naiskr"/>
              <w:spacing w:before="0" w:after="0"/>
              <w:ind w:right="71"/>
              <w:rPr>
                <w:bCs/>
              </w:rPr>
            </w:pPr>
            <w:r>
              <w:rPr>
                <w:bCs/>
              </w:rPr>
              <w:t>4</w:t>
            </w:r>
            <w:r w:rsidR="00647E32" w:rsidRPr="00FA5834">
              <w:rPr>
                <w:bCs/>
              </w:rPr>
              <w:t>.</w:t>
            </w:r>
          </w:p>
        </w:tc>
        <w:tc>
          <w:tcPr>
            <w:tcW w:w="4148" w:type="dxa"/>
          </w:tcPr>
          <w:p w:rsidR="00647E32" w:rsidRPr="00FA5834" w:rsidRDefault="00647E32" w:rsidP="00BD0B63">
            <w:pPr>
              <w:pStyle w:val="naiskr"/>
              <w:spacing w:before="0" w:after="0"/>
              <w:ind w:right="71"/>
            </w:pPr>
            <w:r w:rsidRPr="00FA5834">
              <w:t>Cita informācija</w:t>
            </w:r>
          </w:p>
          <w:p w:rsidR="00647E32" w:rsidRPr="00FA5834" w:rsidRDefault="00647E32" w:rsidP="00BD0B63">
            <w:pPr>
              <w:pStyle w:val="naiskr"/>
              <w:spacing w:before="0" w:after="0"/>
              <w:ind w:right="71"/>
            </w:pPr>
          </w:p>
        </w:tc>
        <w:tc>
          <w:tcPr>
            <w:tcW w:w="4494" w:type="dxa"/>
          </w:tcPr>
          <w:p w:rsidR="00647E32" w:rsidRPr="00FA5834" w:rsidRDefault="00647E32" w:rsidP="00BD0B63">
            <w:pPr>
              <w:pStyle w:val="naiskr"/>
              <w:spacing w:before="0" w:after="0"/>
              <w:ind w:right="71"/>
              <w:jc w:val="both"/>
            </w:pPr>
            <w:r w:rsidRPr="00FA5834">
              <w:t>Nav</w:t>
            </w:r>
          </w:p>
        </w:tc>
      </w:tr>
    </w:tbl>
    <w:p w:rsidR="00647E32" w:rsidRPr="00FA5834" w:rsidRDefault="00647E32" w:rsidP="00BD0B63">
      <w:pPr>
        <w:pStyle w:val="naisf"/>
        <w:spacing w:before="0" w:after="0"/>
        <w:ind w:right="71"/>
      </w:pPr>
    </w:p>
    <w:tbl>
      <w:tblPr>
        <w:tblW w:w="91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40"/>
        <w:gridCol w:w="3757"/>
        <w:gridCol w:w="4883"/>
      </w:tblGrid>
      <w:tr w:rsidR="00647E32" w:rsidRPr="00FA5834" w:rsidTr="00E62B66">
        <w:tc>
          <w:tcPr>
            <w:tcW w:w="9180" w:type="dxa"/>
            <w:gridSpan w:val="3"/>
            <w:tcBorders>
              <w:top w:val="single" w:sz="4" w:space="0" w:color="auto"/>
            </w:tcBorders>
          </w:tcPr>
          <w:p w:rsidR="00647E32" w:rsidRPr="00FA5834" w:rsidRDefault="00647E32" w:rsidP="00BD0B63">
            <w:pPr>
              <w:pStyle w:val="naisnod"/>
              <w:spacing w:before="0" w:after="0"/>
              <w:ind w:right="71"/>
            </w:pPr>
            <w:r w:rsidRPr="00FA5834">
              <w:t>VII. Tiesību akta projekta izpildes nodrošināšana un tās ietekme uz institūcijām</w:t>
            </w:r>
          </w:p>
        </w:tc>
      </w:tr>
      <w:tr w:rsidR="00647E32" w:rsidRPr="00FA5834" w:rsidTr="00E62B66">
        <w:trPr>
          <w:trHeight w:val="427"/>
        </w:trPr>
        <w:tc>
          <w:tcPr>
            <w:tcW w:w="540" w:type="dxa"/>
          </w:tcPr>
          <w:p w:rsidR="00647E32" w:rsidRPr="00FA5834" w:rsidRDefault="00647E32" w:rsidP="00BD0B63">
            <w:pPr>
              <w:pStyle w:val="naisnod"/>
              <w:spacing w:before="0" w:after="0"/>
              <w:ind w:right="71"/>
              <w:jc w:val="left"/>
              <w:rPr>
                <w:b w:val="0"/>
              </w:rPr>
            </w:pPr>
            <w:r w:rsidRPr="00FA5834">
              <w:rPr>
                <w:b w:val="0"/>
              </w:rPr>
              <w:t>1.</w:t>
            </w:r>
          </w:p>
        </w:tc>
        <w:tc>
          <w:tcPr>
            <w:tcW w:w="3757" w:type="dxa"/>
          </w:tcPr>
          <w:p w:rsidR="00647E32" w:rsidRPr="00FA5834" w:rsidRDefault="00647E32" w:rsidP="00BD0B63">
            <w:pPr>
              <w:pStyle w:val="naisf"/>
              <w:spacing w:before="0" w:after="0"/>
              <w:ind w:right="71" w:firstLine="0"/>
              <w:jc w:val="left"/>
            </w:pPr>
            <w:r w:rsidRPr="00FA5834">
              <w:t xml:space="preserve">Projekta izpildē iesaistītās institūcijas </w:t>
            </w:r>
          </w:p>
        </w:tc>
        <w:tc>
          <w:tcPr>
            <w:tcW w:w="4883" w:type="dxa"/>
          </w:tcPr>
          <w:p w:rsidR="00647E32" w:rsidRPr="00FA5834" w:rsidRDefault="00647E32" w:rsidP="00BD0B63">
            <w:pPr>
              <w:pStyle w:val="naisnod"/>
              <w:spacing w:before="0" w:after="0"/>
              <w:ind w:right="71"/>
              <w:jc w:val="left"/>
              <w:rPr>
                <w:b w:val="0"/>
              </w:rPr>
            </w:pPr>
            <w:r w:rsidRPr="00FA5834">
              <w:rPr>
                <w:b w:val="0"/>
                <w:iCs/>
              </w:rPr>
              <w:t>Vides aizsardzības un reģionālās attīstības ministrija</w:t>
            </w:r>
            <w:r w:rsidR="00D30E0A" w:rsidRPr="00FA5834">
              <w:rPr>
                <w:b w:val="0"/>
                <w:iCs/>
              </w:rPr>
              <w:t xml:space="preserve">, </w:t>
            </w:r>
            <w:r w:rsidRPr="00FA5834">
              <w:rPr>
                <w:b w:val="0"/>
                <w:iCs/>
              </w:rPr>
              <w:t xml:space="preserve">Valsts </w:t>
            </w:r>
            <w:r w:rsidR="006F1121" w:rsidRPr="00FA5834">
              <w:rPr>
                <w:b w:val="0"/>
                <w:iCs/>
              </w:rPr>
              <w:t>vides</w:t>
            </w:r>
            <w:r w:rsidRPr="00FA5834">
              <w:rPr>
                <w:b w:val="0"/>
                <w:iCs/>
              </w:rPr>
              <w:t xml:space="preserve"> dienests</w:t>
            </w:r>
            <w:r w:rsidR="006515E8">
              <w:rPr>
                <w:b w:val="0"/>
                <w:iCs/>
              </w:rPr>
              <w:t>, Dabas aizsardzības p</w:t>
            </w:r>
            <w:r w:rsidR="00B1306B">
              <w:rPr>
                <w:b w:val="0"/>
                <w:iCs/>
              </w:rPr>
              <w:t>ārvalde.</w:t>
            </w:r>
          </w:p>
        </w:tc>
      </w:tr>
      <w:tr w:rsidR="00647E32" w:rsidRPr="00FA5834" w:rsidTr="00E62B66">
        <w:trPr>
          <w:trHeight w:val="463"/>
        </w:trPr>
        <w:tc>
          <w:tcPr>
            <w:tcW w:w="540" w:type="dxa"/>
          </w:tcPr>
          <w:p w:rsidR="00647E32" w:rsidRPr="00FA5834" w:rsidRDefault="00647E32" w:rsidP="00BD0B63">
            <w:pPr>
              <w:pStyle w:val="naisnod"/>
              <w:spacing w:before="0" w:after="0"/>
              <w:ind w:right="71"/>
              <w:jc w:val="left"/>
              <w:rPr>
                <w:b w:val="0"/>
              </w:rPr>
            </w:pPr>
            <w:r w:rsidRPr="00FA5834">
              <w:rPr>
                <w:b w:val="0"/>
              </w:rPr>
              <w:t>2.</w:t>
            </w:r>
          </w:p>
        </w:tc>
        <w:tc>
          <w:tcPr>
            <w:tcW w:w="3757" w:type="dxa"/>
          </w:tcPr>
          <w:p w:rsidR="00386C85" w:rsidRPr="00DD49B6" w:rsidRDefault="00386C85" w:rsidP="00386C85">
            <w:pPr>
              <w:pStyle w:val="naisf"/>
              <w:spacing w:before="0" w:after="0"/>
              <w:ind w:left="57" w:right="57" w:firstLine="0"/>
              <w:jc w:val="left"/>
            </w:pPr>
            <w:r w:rsidRPr="00DD49B6">
              <w:t>Projekta izpildes iet</w:t>
            </w:r>
            <w:r>
              <w:t xml:space="preserve">ekme uz pārvaldes funkcijām un </w:t>
            </w:r>
            <w:r w:rsidRPr="00DD49B6">
              <w:t>institucionālo struktūru.</w:t>
            </w:r>
          </w:p>
          <w:p w:rsidR="00647E32" w:rsidRPr="00FA5834" w:rsidRDefault="00386C85" w:rsidP="00386C85">
            <w:pPr>
              <w:pStyle w:val="naisf"/>
              <w:spacing w:before="0" w:after="0"/>
              <w:ind w:right="71" w:firstLine="0"/>
              <w:jc w:val="left"/>
            </w:pPr>
            <w:r w:rsidRPr="00DD49B6">
              <w:t>Jaunu institūciju izveide, esošu institūciju likvidācija vai reorga</w:t>
            </w:r>
            <w:r>
              <w:softHyphen/>
            </w:r>
            <w:r w:rsidRPr="00DD49B6">
              <w:t xml:space="preserve">nizācija, to ietekme uz </w:t>
            </w:r>
            <w:r>
              <w:t>institūcijas cilvēkresursiem</w:t>
            </w:r>
          </w:p>
        </w:tc>
        <w:tc>
          <w:tcPr>
            <w:tcW w:w="4883" w:type="dxa"/>
          </w:tcPr>
          <w:p w:rsidR="00647E32" w:rsidRPr="00FA5834" w:rsidRDefault="00774DAF" w:rsidP="00774DAF">
            <w:pPr>
              <w:pStyle w:val="naisnod"/>
              <w:spacing w:before="0" w:after="0"/>
              <w:ind w:right="71"/>
              <w:jc w:val="left"/>
              <w:rPr>
                <w:b w:val="0"/>
              </w:rPr>
            </w:pPr>
            <w:r>
              <w:rPr>
                <w:b w:val="0"/>
                <w:color w:val="000000"/>
              </w:rPr>
              <w:t xml:space="preserve">Izdodot jaunus Ministru kabineta noteikumus, </w:t>
            </w:r>
            <w:r w:rsidR="004765E0">
              <w:rPr>
                <w:b w:val="0"/>
                <w:color w:val="000000"/>
              </w:rPr>
              <w:t xml:space="preserve">kas noteiks kārtību kādā zemes lietotājiem nosakāmi to zaudējumu apmēri, kas saistīti ar īpaši aizsargājamo nemedījamo sugu un migrējošo sugu dzīvnieku nodarītajiem būtiskiem postījumiem, </w:t>
            </w:r>
            <w:r w:rsidR="009F6E17">
              <w:rPr>
                <w:b w:val="0"/>
                <w:color w:val="000000"/>
              </w:rPr>
              <w:t>paredz</w:t>
            </w:r>
            <w:r>
              <w:rPr>
                <w:b w:val="0"/>
                <w:color w:val="000000"/>
              </w:rPr>
              <w:t>ēta</w:t>
            </w:r>
            <w:r w:rsidR="009F6E17">
              <w:rPr>
                <w:b w:val="0"/>
                <w:color w:val="000000"/>
              </w:rPr>
              <w:t xml:space="preserve"> pārvaldes funkciju maiņu Dabas aizsardzības pārvaldei, kas </w:t>
            </w:r>
            <w:r w:rsidR="009F6E17">
              <w:rPr>
                <w:b w:val="0"/>
                <w:color w:val="000000"/>
              </w:rPr>
              <w:lastRenderedPageBreak/>
              <w:t>no L</w:t>
            </w:r>
            <w:r w:rsidR="000C6F06">
              <w:rPr>
                <w:b w:val="0"/>
                <w:color w:val="000000"/>
              </w:rPr>
              <w:t xml:space="preserve">atvijas vides aizsardzības fonda </w:t>
            </w:r>
            <w:r w:rsidR="009F6E17">
              <w:rPr>
                <w:b w:val="0"/>
                <w:color w:val="000000"/>
              </w:rPr>
              <w:t xml:space="preserve">pārņem </w:t>
            </w:r>
            <w:r w:rsidR="009F6E17" w:rsidRPr="009F6E17">
              <w:rPr>
                <w:b w:val="0"/>
                <w:iCs/>
              </w:rPr>
              <w:t xml:space="preserve">kompensāciju par </w:t>
            </w:r>
            <w:r w:rsidR="009F6E17" w:rsidRPr="009F6E17">
              <w:rPr>
                <w:b w:val="0"/>
              </w:rPr>
              <w:t>īpaši aizsargājamo nemedījamo sugu un migrējošo sugu dzīvnieku nodarītajiem būtiskiem postījumiem</w:t>
            </w:r>
            <w:r w:rsidR="009F6E17" w:rsidRPr="009F6E17">
              <w:rPr>
                <w:b w:val="0"/>
                <w:iCs/>
              </w:rPr>
              <w:t xml:space="preserve"> </w:t>
            </w:r>
            <w:r>
              <w:rPr>
                <w:b w:val="0"/>
                <w:iCs/>
              </w:rPr>
              <w:t xml:space="preserve">apmēra noteikšanu. </w:t>
            </w:r>
          </w:p>
        </w:tc>
      </w:tr>
      <w:tr w:rsidR="00647E32" w:rsidRPr="00FA5834" w:rsidTr="00E62B66">
        <w:trPr>
          <w:trHeight w:val="476"/>
        </w:trPr>
        <w:tc>
          <w:tcPr>
            <w:tcW w:w="540" w:type="dxa"/>
          </w:tcPr>
          <w:p w:rsidR="00647E32" w:rsidRPr="00FA5834" w:rsidRDefault="00386C85" w:rsidP="00BD0B63">
            <w:pPr>
              <w:pStyle w:val="naiskr"/>
              <w:spacing w:before="0" w:after="0"/>
              <w:ind w:right="71"/>
            </w:pPr>
            <w:r>
              <w:lastRenderedPageBreak/>
              <w:t>3</w:t>
            </w:r>
            <w:r w:rsidR="00647E32" w:rsidRPr="00FA5834">
              <w:t>.</w:t>
            </w:r>
          </w:p>
        </w:tc>
        <w:tc>
          <w:tcPr>
            <w:tcW w:w="3757" w:type="dxa"/>
          </w:tcPr>
          <w:p w:rsidR="00647E32" w:rsidRPr="00FA5834" w:rsidRDefault="00647E32" w:rsidP="00BD0B63">
            <w:pPr>
              <w:pStyle w:val="naiskr"/>
              <w:spacing w:before="0" w:after="0"/>
              <w:ind w:right="71"/>
            </w:pPr>
            <w:r w:rsidRPr="00FA5834">
              <w:t>Cita informācija</w:t>
            </w:r>
          </w:p>
        </w:tc>
        <w:tc>
          <w:tcPr>
            <w:tcW w:w="4883" w:type="dxa"/>
          </w:tcPr>
          <w:p w:rsidR="00647E32" w:rsidRPr="00FA5834" w:rsidRDefault="00647E32" w:rsidP="00BD0B63">
            <w:pPr>
              <w:pStyle w:val="naiskr"/>
              <w:spacing w:before="0" w:after="0"/>
              <w:ind w:right="71"/>
            </w:pPr>
            <w:r w:rsidRPr="00FA5834">
              <w:t>Nav</w:t>
            </w:r>
          </w:p>
        </w:tc>
      </w:tr>
    </w:tbl>
    <w:p w:rsidR="00647E32" w:rsidRPr="00FA5834" w:rsidRDefault="00647E32" w:rsidP="00647E32">
      <w:pPr>
        <w:pStyle w:val="NormalWeb"/>
        <w:spacing w:before="0" w:beforeAutospacing="0" w:after="0" w:afterAutospacing="0"/>
        <w:ind w:left="540"/>
      </w:pPr>
    </w:p>
    <w:p w:rsidR="00724CE2" w:rsidRDefault="00724CE2" w:rsidP="007321B5">
      <w:pPr>
        <w:pStyle w:val="NormalWeb"/>
        <w:spacing w:before="0" w:beforeAutospacing="0" w:after="0" w:afterAutospacing="0"/>
        <w:jc w:val="both"/>
        <w:rPr>
          <w:iCs/>
        </w:rPr>
      </w:pPr>
    </w:p>
    <w:p w:rsidR="00724CE2" w:rsidRDefault="00724CE2" w:rsidP="0067732C">
      <w:pPr>
        <w:pStyle w:val="NormalWeb"/>
        <w:spacing w:before="0" w:beforeAutospacing="0" w:after="0" w:afterAutospacing="0"/>
        <w:ind w:firstLine="284"/>
        <w:jc w:val="both"/>
        <w:rPr>
          <w:iCs/>
        </w:rPr>
      </w:pPr>
    </w:p>
    <w:p w:rsidR="0067732C" w:rsidRDefault="00647E32" w:rsidP="0067732C">
      <w:pPr>
        <w:pStyle w:val="NormalWeb"/>
        <w:spacing w:before="0" w:beforeAutospacing="0" w:after="0" w:afterAutospacing="0"/>
        <w:ind w:firstLine="284"/>
        <w:jc w:val="both"/>
        <w:rPr>
          <w:iCs/>
        </w:rPr>
      </w:pPr>
      <w:r w:rsidRPr="00FA5834">
        <w:rPr>
          <w:iCs/>
        </w:rPr>
        <w:t>Vides aizsardzības un reģionālās</w:t>
      </w:r>
    </w:p>
    <w:p w:rsidR="00647E32" w:rsidRPr="0067732C" w:rsidRDefault="00647E32" w:rsidP="0067732C">
      <w:pPr>
        <w:pStyle w:val="NormalWeb"/>
        <w:spacing w:before="0" w:beforeAutospacing="0" w:after="0" w:afterAutospacing="0"/>
        <w:ind w:left="284"/>
        <w:jc w:val="both"/>
        <w:rPr>
          <w:iCs/>
        </w:rPr>
      </w:pPr>
      <w:r w:rsidRPr="00FA5834">
        <w:rPr>
          <w:iCs/>
        </w:rPr>
        <w:t>attīstības</w:t>
      </w:r>
      <w:r w:rsidRPr="00FA5834">
        <w:rPr>
          <w:b/>
          <w:iCs/>
        </w:rPr>
        <w:t xml:space="preserve"> </w:t>
      </w:r>
      <w:r w:rsidRPr="00FA5834">
        <w:t xml:space="preserve">ministrs </w:t>
      </w:r>
      <w:r w:rsidRPr="00FA5834">
        <w:tab/>
      </w:r>
      <w:r w:rsidRPr="00FA5834">
        <w:tab/>
      </w:r>
      <w:r w:rsidRPr="00FA5834">
        <w:tab/>
      </w:r>
      <w:r w:rsidRPr="00FA5834">
        <w:tab/>
      </w:r>
      <w:r w:rsidRPr="00FA5834">
        <w:tab/>
      </w:r>
      <w:r w:rsidRPr="00FA5834">
        <w:tab/>
      </w:r>
      <w:r w:rsidR="0067732C">
        <w:tab/>
      </w:r>
      <w:r w:rsidR="00B1306B">
        <w:t>K.Gerhards</w:t>
      </w:r>
    </w:p>
    <w:p w:rsidR="00D30E0A" w:rsidRPr="00FA5834" w:rsidRDefault="00647E32" w:rsidP="00647E32">
      <w:pPr>
        <w:ind w:left="540"/>
      </w:pPr>
      <w:r w:rsidRPr="00FA5834">
        <w:t xml:space="preserve"> </w:t>
      </w:r>
    </w:p>
    <w:p w:rsidR="005C6210" w:rsidRDefault="00647E32" w:rsidP="0051540A">
      <w:pPr>
        <w:pStyle w:val="ListParagraph"/>
        <w:spacing w:after="0" w:line="240" w:lineRule="auto"/>
        <w:ind w:left="0" w:firstLine="283"/>
        <w:jc w:val="both"/>
        <w:rPr>
          <w:rFonts w:ascii="Times New Roman" w:hAnsi="Times New Roman"/>
          <w:bCs/>
          <w:sz w:val="24"/>
          <w:szCs w:val="24"/>
        </w:rPr>
      </w:pPr>
      <w:r w:rsidRPr="00FA5834">
        <w:rPr>
          <w:rFonts w:ascii="Times New Roman" w:hAnsi="Times New Roman"/>
          <w:sz w:val="24"/>
          <w:szCs w:val="24"/>
        </w:rPr>
        <w:t xml:space="preserve">Vizē: </w:t>
      </w:r>
      <w:r w:rsidR="00603548">
        <w:rPr>
          <w:rFonts w:ascii="Times New Roman" w:hAnsi="Times New Roman"/>
          <w:bCs/>
          <w:sz w:val="24"/>
          <w:szCs w:val="24"/>
        </w:rPr>
        <w:t>valsts sekretārs</w:t>
      </w:r>
      <w:r w:rsidR="00AB49A4" w:rsidRPr="00FA5834">
        <w:rPr>
          <w:rFonts w:ascii="Times New Roman" w:hAnsi="Times New Roman"/>
          <w:color w:val="000000"/>
          <w:sz w:val="24"/>
          <w:szCs w:val="24"/>
        </w:rPr>
        <w:tab/>
        <w:t xml:space="preserve"> </w:t>
      </w:r>
      <w:r w:rsidR="00AB49A4" w:rsidRPr="00FA5834">
        <w:tab/>
      </w:r>
      <w:r w:rsidR="00AB49A4" w:rsidRPr="00FA5834">
        <w:tab/>
      </w:r>
      <w:r w:rsidR="00AB49A4" w:rsidRPr="00FA5834">
        <w:tab/>
      </w:r>
      <w:r w:rsidR="00AB49A4" w:rsidRPr="00FA5834">
        <w:tab/>
      </w:r>
      <w:r w:rsidR="00AB49A4" w:rsidRPr="00FA5834">
        <w:tab/>
      </w:r>
      <w:r w:rsidR="0051540A">
        <w:rPr>
          <w:rFonts w:ascii="Times New Roman" w:hAnsi="Times New Roman"/>
          <w:bCs/>
          <w:sz w:val="24"/>
          <w:szCs w:val="24"/>
        </w:rPr>
        <w:t>G.Puķītis</w:t>
      </w:r>
    </w:p>
    <w:p w:rsidR="0051540A" w:rsidRDefault="0051540A" w:rsidP="00907750">
      <w:pPr>
        <w:pStyle w:val="ListParagraph"/>
        <w:spacing w:after="0" w:line="240" w:lineRule="auto"/>
        <w:ind w:left="0"/>
        <w:jc w:val="both"/>
        <w:rPr>
          <w:rFonts w:ascii="Times New Roman" w:hAnsi="Times New Roman"/>
          <w:bCs/>
          <w:sz w:val="24"/>
          <w:szCs w:val="24"/>
        </w:rPr>
      </w:pPr>
    </w:p>
    <w:p w:rsidR="007321B5" w:rsidRDefault="007321B5" w:rsidP="00907750">
      <w:pPr>
        <w:pStyle w:val="ListParagraph"/>
        <w:spacing w:after="0" w:line="240" w:lineRule="auto"/>
        <w:ind w:left="0"/>
        <w:jc w:val="both"/>
        <w:rPr>
          <w:rFonts w:ascii="Times New Roman" w:hAnsi="Times New Roman"/>
          <w:bCs/>
          <w:sz w:val="24"/>
          <w:szCs w:val="24"/>
        </w:rPr>
      </w:pPr>
    </w:p>
    <w:p w:rsidR="00647E32" w:rsidRPr="00FA5834" w:rsidRDefault="00D47FC2" w:rsidP="00647E32">
      <w:r>
        <w:t>28</w:t>
      </w:r>
      <w:r w:rsidR="00D30E0A" w:rsidRPr="00FA5834">
        <w:t>.</w:t>
      </w:r>
      <w:r w:rsidR="009B6221">
        <w:t>0</w:t>
      </w:r>
      <w:r w:rsidR="00014B7F">
        <w:t>4</w:t>
      </w:r>
      <w:r w:rsidR="00647E32" w:rsidRPr="00FA5834">
        <w:t>.201</w:t>
      </w:r>
      <w:r w:rsidR="009B6221">
        <w:t xml:space="preserve">5 </w:t>
      </w:r>
      <w:r>
        <w:t>12</w:t>
      </w:r>
      <w:r w:rsidR="004E60AB">
        <w:t>:4</w:t>
      </w:r>
      <w:r w:rsidR="00382E60">
        <w:t>5</w:t>
      </w:r>
    </w:p>
    <w:p w:rsidR="00647E32" w:rsidRPr="00FA5834" w:rsidRDefault="007321B5" w:rsidP="00647E32">
      <w:r>
        <w:t>2</w:t>
      </w:r>
      <w:r w:rsidR="004E60AB">
        <w:t>743</w:t>
      </w:r>
    </w:p>
    <w:p w:rsidR="00D4597B" w:rsidRDefault="00B62210" w:rsidP="00647E32">
      <w:r>
        <w:t>L.Teša</w:t>
      </w:r>
    </w:p>
    <w:p w:rsidR="00D4597B" w:rsidRPr="00FA5834" w:rsidRDefault="00B7026F" w:rsidP="00647E32">
      <w:r>
        <w:t>67026</w:t>
      </w:r>
      <w:r w:rsidR="00B62210">
        <w:t>572</w:t>
      </w:r>
    </w:p>
    <w:sectPr w:rsidR="00D4597B" w:rsidRPr="00FA5834" w:rsidSect="005622E4">
      <w:headerReference w:type="even" r:id="rId9"/>
      <w:headerReference w:type="default" r:id="rId10"/>
      <w:footerReference w:type="default" r:id="rId11"/>
      <w:footerReference w:type="first" r:id="rId12"/>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DFA" w:rsidRDefault="00FA5DFA">
      <w:r>
        <w:separator/>
      </w:r>
    </w:p>
  </w:endnote>
  <w:endnote w:type="continuationSeparator" w:id="0">
    <w:p w:rsidR="00FA5DFA" w:rsidRDefault="00FA5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00022FF" w:usb1="C000205B" w:usb2="00000009" w:usb3="00000000" w:csb0="000001DF" w:csb1="00000000"/>
  </w:font>
  <w:font w:name="Consolas">
    <w:panose1 w:val="020B0609020204030204"/>
    <w:charset w:val="BA"/>
    <w:family w:val="modern"/>
    <w:pitch w:val="fixed"/>
    <w:sig w:usb0="A00002EF" w:usb1="4000204B"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EA" w:rsidRPr="00D60A84" w:rsidRDefault="00E510B0" w:rsidP="00793084">
    <w:pPr>
      <w:pStyle w:val="Title"/>
      <w:spacing w:before="120"/>
      <w:jc w:val="both"/>
      <w:rPr>
        <w:b w:val="0"/>
        <w:noProof/>
      </w:rPr>
    </w:pPr>
    <w:r w:rsidRPr="00D60A84">
      <w:rPr>
        <w:b w:val="0"/>
      </w:rPr>
      <w:fldChar w:fldCharType="begin"/>
    </w:r>
    <w:r w:rsidR="007803EA">
      <w:rPr>
        <w:b w:val="0"/>
      </w:rPr>
      <w:instrText>VARAMAnot_031214_sugas</w:instrText>
    </w:r>
    <w:r w:rsidRPr="00D60A84">
      <w:rPr>
        <w:b w:val="0"/>
      </w:rPr>
      <w:fldChar w:fldCharType="separate"/>
    </w:r>
    <w:r w:rsidR="007803EA" w:rsidRPr="00D60A84">
      <w:rPr>
        <w:b w:val="0"/>
      </w:rPr>
      <w:t xml:space="preserve"> </w:t>
    </w:r>
    <w:r w:rsidRPr="00D60A84">
      <w:rPr>
        <w:b w:val="0"/>
      </w:rPr>
      <w:fldChar w:fldCharType="begin"/>
    </w:r>
    <w:r w:rsidR="007803EA">
      <w:rPr>
        <w:b w:val="0"/>
      </w:rPr>
      <w:instrText>VARAMAnot_031214_sugas</w:instrText>
    </w:r>
    <w:r w:rsidRPr="00D60A84">
      <w:rPr>
        <w:b w:val="0"/>
      </w:rPr>
      <w:fldChar w:fldCharType="separate"/>
    </w:r>
    <w:r w:rsidR="00885D61">
      <w:rPr>
        <w:b w:val="0"/>
        <w:noProof/>
      </w:rPr>
      <w:t>VARAMAnot_28</w:t>
    </w:r>
    <w:r w:rsidR="007803EA">
      <w:rPr>
        <w:b w:val="0"/>
        <w:noProof/>
      </w:rPr>
      <w:t>0415</w:t>
    </w:r>
    <w:r w:rsidR="007803EA" w:rsidRPr="00D60A84">
      <w:rPr>
        <w:b w:val="0"/>
        <w:noProof/>
      </w:rPr>
      <w:t>_</w:t>
    </w:r>
    <w:r w:rsidRPr="00D60A84">
      <w:rPr>
        <w:b w:val="0"/>
      </w:rPr>
      <w:fldChar w:fldCharType="end"/>
    </w:r>
    <w:r w:rsidR="007803EA">
      <w:rPr>
        <w:b w:val="0"/>
      </w:rPr>
      <w:t>sugas</w:t>
    </w:r>
    <w:r w:rsidRPr="00D60A84">
      <w:rPr>
        <w:b w:val="0"/>
      </w:rPr>
      <w:fldChar w:fldCharType="end"/>
    </w:r>
    <w:r w:rsidR="007803EA" w:rsidRPr="00D60A84">
      <w:rPr>
        <w:b w:val="0"/>
      </w:rPr>
      <w:t>;</w:t>
    </w:r>
    <w:r w:rsidR="007803EA">
      <w:rPr>
        <w:b w:val="0"/>
      </w:rPr>
      <w:t xml:space="preserve"> </w:t>
    </w:r>
    <w:r w:rsidR="007803EA" w:rsidRPr="00D60A84">
      <w:rPr>
        <w:b w:val="0"/>
      </w:rPr>
      <w:t xml:space="preserve">Anotācija likumprojektam </w:t>
    </w:r>
    <w:r w:rsidR="007803EA" w:rsidRPr="00D60A84">
      <w:rPr>
        <w:rStyle w:val="Strong"/>
        <w:b/>
        <w:bCs/>
      </w:rPr>
      <w:t>„</w:t>
    </w:r>
    <w:r w:rsidR="007803EA">
      <w:rPr>
        <w:b w:val="0"/>
      </w:rPr>
      <w:t xml:space="preserve">Grozījums Sugu un biotopu </w:t>
    </w:r>
    <w:r w:rsidR="007803EA" w:rsidRPr="00D60A84">
      <w:rPr>
        <w:b w:val="0"/>
      </w:rPr>
      <w:t>aizsardzības likumā”</w:t>
    </w:r>
  </w:p>
  <w:p w:rsidR="007803EA" w:rsidRPr="00465712" w:rsidRDefault="007803EA" w:rsidP="004657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EA" w:rsidRPr="00D60A84" w:rsidRDefault="00E510B0" w:rsidP="00D60A84">
    <w:pPr>
      <w:pStyle w:val="Title"/>
      <w:spacing w:before="120"/>
      <w:jc w:val="both"/>
      <w:rPr>
        <w:b w:val="0"/>
      </w:rPr>
    </w:pPr>
    <w:r w:rsidRPr="00D60A84">
      <w:rPr>
        <w:b w:val="0"/>
      </w:rPr>
      <w:fldChar w:fldCharType="begin"/>
    </w:r>
    <w:r w:rsidR="007803EA">
      <w:rPr>
        <w:b w:val="0"/>
      </w:rPr>
      <w:instrText>VARAMAnot_031214_sugas</w:instrText>
    </w:r>
    <w:r w:rsidRPr="00D60A84">
      <w:rPr>
        <w:b w:val="0"/>
      </w:rPr>
      <w:fldChar w:fldCharType="separate"/>
    </w:r>
    <w:r w:rsidR="007803EA">
      <w:rPr>
        <w:b w:val="0"/>
        <w:noProof/>
      </w:rPr>
      <w:t>VARAMAnot_101214</w:t>
    </w:r>
    <w:r w:rsidR="007803EA" w:rsidRPr="00D60A84">
      <w:rPr>
        <w:b w:val="0"/>
        <w:noProof/>
      </w:rPr>
      <w:t>_</w:t>
    </w:r>
    <w:r w:rsidRPr="00D60A84">
      <w:rPr>
        <w:b w:val="0"/>
      </w:rPr>
      <w:fldChar w:fldCharType="end"/>
    </w:r>
    <w:r w:rsidR="007803EA">
      <w:rPr>
        <w:b w:val="0"/>
      </w:rPr>
      <w:t>sugas</w:t>
    </w:r>
    <w:r w:rsidR="007803EA" w:rsidRPr="00D60A84">
      <w:rPr>
        <w:b w:val="0"/>
      </w:rPr>
      <w:t>;</w:t>
    </w:r>
    <w:r w:rsidR="007803EA">
      <w:rPr>
        <w:b w:val="0"/>
      </w:rPr>
      <w:t xml:space="preserve"> </w:t>
    </w:r>
    <w:r w:rsidR="007803EA" w:rsidRPr="00D60A84">
      <w:rPr>
        <w:b w:val="0"/>
      </w:rPr>
      <w:t xml:space="preserve">Anotācija likumprojektam </w:t>
    </w:r>
    <w:r w:rsidR="007803EA" w:rsidRPr="00D60A84">
      <w:rPr>
        <w:rStyle w:val="Strong"/>
        <w:b/>
        <w:bCs/>
      </w:rPr>
      <w:t>„</w:t>
    </w:r>
    <w:r w:rsidR="007803EA">
      <w:rPr>
        <w:b w:val="0"/>
      </w:rPr>
      <w:t xml:space="preserve">Grozījums Sugu un biotopu </w:t>
    </w:r>
    <w:r w:rsidR="007803EA" w:rsidRPr="00D60A84">
      <w:rPr>
        <w:b w:val="0"/>
      </w:rPr>
      <w:t>aizsardzības likumā”</w:t>
    </w:r>
  </w:p>
  <w:p w:rsidR="007803EA" w:rsidRPr="00D60A84" w:rsidRDefault="007803EA" w:rsidP="00D60A84">
    <w:pPr>
      <w:pStyle w:val="Title"/>
      <w:spacing w:before="120"/>
      <w:ind w:left="-540"/>
      <w:jc w:val="both"/>
      <w:outlineLv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DFA" w:rsidRDefault="00FA5DFA">
      <w:r>
        <w:separator/>
      </w:r>
    </w:p>
  </w:footnote>
  <w:footnote w:type="continuationSeparator" w:id="0">
    <w:p w:rsidR="00FA5DFA" w:rsidRDefault="00FA5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EA" w:rsidRDefault="00E510B0" w:rsidP="00647E32">
    <w:pPr>
      <w:pStyle w:val="Header"/>
      <w:framePr w:wrap="around" w:vAnchor="text" w:hAnchor="margin" w:xAlign="center" w:y="1"/>
      <w:rPr>
        <w:rStyle w:val="PageNumber"/>
      </w:rPr>
    </w:pPr>
    <w:r>
      <w:rPr>
        <w:rStyle w:val="PageNumber"/>
      </w:rPr>
      <w:fldChar w:fldCharType="begin"/>
    </w:r>
    <w:r w:rsidR="007803EA">
      <w:rPr>
        <w:rStyle w:val="PageNumber"/>
      </w:rPr>
      <w:instrText xml:space="preserve">PAGE  </w:instrText>
    </w:r>
    <w:r>
      <w:rPr>
        <w:rStyle w:val="PageNumber"/>
      </w:rPr>
      <w:fldChar w:fldCharType="end"/>
    </w:r>
  </w:p>
  <w:p w:rsidR="007803EA" w:rsidRDefault="007803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EA" w:rsidRDefault="00E510B0" w:rsidP="00647E32">
    <w:pPr>
      <w:pStyle w:val="Header"/>
      <w:framePr w:wrap="around" w:vAnchor="text" w:hAnchor="margin" w:xAlign="center" w:y="1"/>
      <w:rPr>
        <w:rStyle w:val="PageNumber"/>
      </w:rPr>
    </w:pPr>
    <w:r>
      <w:rPr>
        <w:rStyle w:val="PageNumber"/>
      </w:rPr>
      <w:fldChar w:fldCharType="begin"/>
    </w:r>
    <w:r w:rsidR="007803EA">
      <w:rPr>
        <w:rStyle w:val="PageNumber"/>
      </w:rPr>
      <w:instrText xml:space="preserve">PAGE  </w:instrText>
    </w:r>
    <w:r>
      <w:rPr>
        <w:rStyle w:val="PageNumber"/>
      </w:rPr>
      <w:fldChar w:fldCharType="separate"/>
    </w:r>
    <w:r w:rsidR="00634144">
      <w:rPr>
        <w:rStyle w:val="PageNumber"/>
        <w:noProof/>
      </w:rPr>
      <w:t>1</w:t>
    </w:r>
    <w:r>
      <w:rPr>
        <w:rStyle w:val="PageNumber"/>
      </w:rPr>
      <w:fldChar w:fldCharType="end"/>
    </w:r>
  </w:p>
  <w:p w:rsidR="007803EA" w:rsidRDefault="007803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329"/>
    <w:multiLevelType w:val="hybridMultilevel"/>
    <w:tmpl w:val="F7369A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70E753F"/>
    <w:multiLevelType w:val="hybridMultilevel"/>
    <w:tmpl w:val="7FFA40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8673053"/>
    <w:multiLevelType w:val="hybridMultilevel"/>
    <w:tmpl w:val="578885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1186AB9"/>
    <w:multiLevelType w:val="multilevel"/>
    <w:tmpl w:val="448ADFE0"/>
    <w:lvl w:ilvl="0">
      <w:start w:val="1"/>
      <w:numFmt w:val="decimal"/>
      <w:lvlText w:val="%1."/>
      <w:lvlJc w:val="left"/>
      <w:pPr>
        <w:ind w:left="1080" w:hanging="360"/>
      </w:pPr>
      <w:rPr>
        <w:rFonts w:hint="default"/>
        <w:b/>
      </w:rPr>
    </w:lvl>
    <w:lvl w:ilvl="1">
      <w:start w:val="1"/>
      <w:numFmt w:val="decimal"/>
      <w:isLgl/>
      <w:lvlText w:val="%1.%2."/>
      <w:lvlJc w:val="left"/>
      <w:pPr>
        <w:ind w:left="1800" w:hanging="360"/>
      </w:pPr>
      <w:rPr>
        <w:rFonts w:hint="default"/>
        <w:b/>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4">
    <w:nsid w:val="476B2570"/>
    <w:multiLevelType w:val="hybridMultilevel"/>
    <w:tmpl w:val="9814E39C"/>
    <w:lvl w:ilvl="0" w:tplc="D4CE8BEE">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5">
    <w:nsid w:val="47B65B6A"/>
    <w:multiLevelType w:val="hybridMultilevel"/>
    <w:tmpl w:val="2C9E20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BC4019D"/>
    <w:multiLevelType w:val="hybridMultilevel"/>
    <w:tmpl w:val="BE82094E"/>
    <w:lvl w:ilvl="0" w:tplc="851C0C50">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4"/>
  </w:num>
  <w:num w:numId="2">
    <w:abstractNumId w:val="6"/>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47E32"/>
    <w:rsid w:val="000004D6"/>
    <w:rsid w:val="00003AAD"/>
    <w:rsid w:val="0001101B"/>
    <w:rsid w:val="00014B7F"/>
    <w:rsid w:val="00023281"/>
    <w:rsid w:val="0002641E"/>
    <w:rsid w:val="000265AA"/>
    <w:rsid w:val="00026DBF"/>
    <w:rsid w:val="000362E8"/>
    <w:rsid w:val="00040DCF"/>
    <w:rsid w:val="00043B73"/>
    <w:rsid w:val="0004465A"/>
    <w:rsid w:val="00044E83"/>
    <w:rsid w:val="00050566"/>
    <w:rsid w:val="00054B93"/>
    <w:rsid w:val="000576AA"/>
    <w:rsid w:val="00060CF4"/>
    <w:rsid w:val="0006520A"/>
    <w:rsid w:val="0006629F"/>
    <w:rsid w:val="00075A14"/>
    <w:rsid w:val="00090417"/>
    <w:rsid w:val="00091ECD"/>
    <w:rsid w:val="000A16EF"/>
    <w:rsid w:val="000A3EBF"/>
    <w:rsid w:val="000A685D"/>
    <w:rsid w:val="000B41E1"/>
    <w:rsid w:val="000B4540"/>
    <w:rsid w:val="000C426C"/>
    <w:rsid w:val="000C6F06"/>
    <w:rsid w:val="000D5EB2"/>
    <w:rsid w:val="000E5503"/>
    <w:rsid w:val="000F5127"/>
    <w:rsid w:val="00113639"/>
    <w:rsid w:val="00120222"/>
    <w:rsid w:val="00120DF6"/>
    <w:rsid w:val="00143EC3"/>
    <w:rsid w:val="001457E6"/>
    <w:rsid w:val="001469E7"/>
    <w:rsid w:val="00153F32"/>
    <w:rsid w:val="00154249"/>
    <w:rsid w:val="00161D8C"/>
    <w:rsid w:val="00163DA7"/>
    <w:rsid w:val="00170264"/>
    <w:rsid w:val="00175991"/>
    <w:rsid w:val="001760B2"/>
    <w:rsid w:val="001764DC"/>
    <w:rsid w:val="0018327D"/>
    <w:rsid w:val="00186EFA"/>
    <w:rsid w:val="001940C2"/>
    <w:rsid w:val="001958F6"/>
    <w:rsid w:val="001A4012"/>
    <w:rsid w:val="001B43BE"/>
    <w:rsid w:val="001D0CDA"/>
    <w:rsid w:val="001D10CC"/>
    <w:rsid w:val="001E047E"/>
    <w:rsid w:val="001E370A"/>
    <w:rsid w:val="001E6289"/>
    <w:rsid w:val="001F31DD"/>
    <w:rsid w:val="001F4CB5"/>
    <w:rsid w:val="00206693"/>
    <w:rsid w:val="00225E40"/>
    <w:rsid w:val="00234648"/>
    <w:rsid w:val="00242673"/>
    <w:rsid w:val="00245027"/>
    <w:rsid w:val="00250CB9"/>
    <w:rsid w:val="0026097D"/>
    <w:rsid w:val="00261B54"/>
    <w:rsid w:val="00262D18"/>
    <w:rsid w:val="00262E25"/>
    <w:rsid w:val="00263071"/>
    <w:rsid w:val="00274BFA"/>
    <w:rsid w:val="002908E3"/>
    <w:rsid w:val="002968E7"/>
    <w:rsid w:val="002A2FEE"/>
    <w:rsid w:val="002C1193"/>
    <w:rsid w:val="002C1D64"/>
    <w:rsid w:val="002C3E7F"/>
    <w:rsid w:val="002C72DA"/>
    <w:rsid w:val="002D1BEE"/>
    <w:rsid w:val="002D318E"/>
    <w:rsid w:val="002E1D95"/>
    <w:rsid w:val="002E32A4"/>
    <w:rsid w:val="002F33CB"/>
    <w:rsid w:val="002F532B"/>
    <w:rsid w:val="002F78C1"/>
    <w:rsid w:val="003001F2"/>
    <w:rsid w:val="00301042"/>
    <w:rsid w:val="0030591C"/>
    <w:rsid w:val="00306655"/>
    <w:rsid w:val="00307827"/>
    <w:rsid w:val="00323C97"/>
    <w:rsid w:val="00335C83"/>
    <w:rsid w:val="00345E9B"/>
    <w:rsid w:val="00366542"/>
    <w:rsid w:val="0037146F"/>
    <w:rsid w:val="003757CD"/>
    <w:rsid w:val="00382AA7"/>
    <w:rsid w:val="00382E60"/>
    <w:rsid w:val="003834B9"/>
    <w:rsid w:val="00384282"/>
    <w:rsid w:val="00386C85"/>
    <w:rsid w:val="00387F3A"/>
    <w:rsid w:val="003A6C56"/>
    <w:rsid w:val="003C5544"/>
    <w:rsid w:val="003C65F7"/>
    <w:rsid w:val="003D0449"/>
    <w:rsid w:val="003E58D7"/>
    <w:rsid w:val="003E79E0"/>
    <w:rsid w:val="003F16B5"/>
    <w:rsid w:val="003F3B6D"/>
    <w:rsid w:val="00404A9D"/>
    <w:rsid w:val="00406292"/>
    <w:rsid w:val="004133D9"/>
    <w:rsid w:val="00420066"/>
    <w:rsid w:val="00423685"/>
    <w:rsid w:val="004266B0"/>
    <w:rsid w:val="00426BAB"/>
    <w:rsid w:val="00443189"/>
    <w:rsid w:val="00455F0D"/>
    <w:rsid w:val="00464D2D"/>
    <w:rsid w:val="00465712"/>
    <w:rsid w:val="00470983"/>
    <w:rsid w:val="00471D66"/>
    <w:rsid w:val="00474A96"/>
    <w:rsid w:val="004757BD"/>
    <w:rsid w:val="004765E0"/>
    <w:rsid w:val="00480C4F"/>
    <w:rsid w:val="00483008"/>
    <w:rsid w:val="00485781"/>
    <w:rsid w:val="004859BE"/>
    <w:rsid w:val="004969D1"/>
    <w:rsid w:val="0049725F"/>
    <w:rsid w:val="004A3288"/>
    <w:rsid w:val="004B198C"/>
    <w:rsid w:val="004C270C"/>
    <w:rsid w:val="004C6205"/>
    <w:rsid w:val="004D07CF"/>
    <w:rsid w:val="004D4EF6"/>
    <w:rsid w:val="004E46D2"/>
    <w:rsid w:val="004E60AB"/>
    <w:rsid w:val="004E7A26"/>
    <w:rsid w:val="004F191E"/>
    <w:rsid w:val="004F2995"/>
    <w:rsid w:val="004F343F"/>
    <w:rsid w:val="004F5D89"/>
    <w:rsid w:val="004F648B"/>
    <w:rsid w:val="00502DFD"/>
    <w:rsid w:val="00514D86"/>
    <w:rsid w:val="0051540A"/>
    <w:rsid w:val="005207EF"/>
    <w:rsid w:val="00523AD0"/>
    <w:rsid w:val="005313F5"/>
    <w:rsid w:val="00534E4A"/>
    <w:rsid w:val="00541C21"/>
    <w:rsid w:val="00544BD4"/>
    <w:rsid w:val="005456C7"/>
    <w:rsid w:val="00553463"/>
    <w:rsid w:val="005611E3"/>
    <w:rsid w:val="00561DEF"/>
    <w:rsid w:val="005622E4"/>
    <w:rsid w:val="005666A9"/>
    <w:rsid w:val="00567E7D"/>
    <w:rsid w:val="00572157"/>
    <w:rsid w:val="005806BC"/>
    <w:rsid w:val="00587425"/>
    <w:rsid w:val="005943C2"/>
    <w:rsid w:val="00594B26"/>
    <w:rsid w:val="0059575C"/>
    <w:rsid w:val="005A08B4"/>
    <w:rsid w:val="005C2488"/>
    <w:rsid w:val="005C44CE"/>
    <w:rsid w:val="005C60EA"/>
    <w:rsid w:val="005C6210"/>
    <w:rsid w:val="005C6DCD"/>
    <w:rsid w:val="005D22CD"/>
    <w:rsid w:val="005D3D50"/>
    <w:rsid w:val="005D5C70"/>
    <w:rsid w:val="005E0748"/>
    <w:rsid w:val="005E24C0"/>
    <w:rsid w:val="005F4749"/>
    <w:rsid w:val="005F7A16"/>
    <w:rsid w:val="005F7C8E"/>
    <w:rsid w:val="006000ED"/>
    <w:rsid w:val="00603548"/>
    <w:rsid w:val="0062504D"/>
    <w:rsid w:val="00626F05"/>
    <w:rsid w:val="00634144"/>
    <w:rsid w:val="006374A8"/>
    <w:rsid w:val="00640814"/>
    <w:rsid w:val="00641BBD"/>
    <w:rsid w:val="006443D0"/>
    <w:rsid w:val="00646C9C"/>
    <w:rsid w:val="00647E32"/>
    <w:rsid w:val="006515E8"/>
    <w:rsid w:val="00661B6A"/>
    <w:rsid w:val="006624D3"/>
    <w:rsid w:val="0066536B"/>
    <w:rsid w:val="0067732C"/>
    <w:rsid w:val="00684B62"/>
    <w:rsid w:val="006850A4"/>
    <w:rsid w:val="00693F7C"/>
    <w:rsid w:val="00697C6C"/>
    <w:rsid w:val="006A6337"/>
    <w:rsid w:val="006B105C"/>
    <w:rsid w:val="006B3F30"/>
    <w:rsid w:val="006B7C42"/>
    <w:rsid w:val="006C08A8"/>
    <w:rsid w:val="006C6EF0"/>
    <w:rsid w:val="006E06A4"/>
    <w:rsid w:val="006E3F2A"/>
    <w:rsid w:val="006F1121"/>
    <w:rsid w:val="006F1BB7"/>
    <w:rsid w:val="00703C5C"/>
    <w:rsid w:val="00704C1C"/>
    <w:rsid w:val="007052ED"/>
    <w:rsid w:val="00711861"/>
    <w:rsid w:val="0071278B"/>
    <w:rsid w:val="007163F2"/>
    <w:rsid w:val="007248CC"/>
    <w:rsid w:val="00724CE2"/>
    <w:rsid w:val="00726B69"/>
    <w:rsid w:val="007321B5"/>
    <w:rsid w:val="00751FB7"/>
    <w:rsid w:val="00753657"/>
    <w:rsid w:val="00765CF7"/>
    <w:rsid w:val="007670F9"/>
    <w:rsid w:val="00774D83"/>
    <w:rsid w:val="00774DAF"/>
    <w:rsid w:val="007803EA"/>
    <w:rsid w:val="00793084"/>
    <w:rsid w:val="00794C76"/>
    <w:rsid w:val="007A7DD2"/>
    <w:rsid w:val="007B43B7"/>
    <w:rsid w:val="007C1E29"/>
    <w:rsid w:val="007C32E6"/>
    <w:rsid w:val="007C5CF7"/>
    <w:rsid w:val="007C6359"/>
    <w:rsid w:val="007D396D"/>
    <w:rsid w:val="007D4CD3"/>
    <w:rsid w:val="007E1355"/>
    <w:rsid w:val="007E61BB"/>
    <w:rsid w:val="007E704C"/>
    <w:rsid w:val="007E7A9A"/>
    <w:rsid w:val="007F04CB"/>
    <w:rsid w:val="007F0552"/>
    <w:rsid w:val="007F6954"/>
    <w:rsid w:val="00814F3E"/>
    <w:rsid w:val="00817F5C"/>
    <w:rsid w:val="0082464F"/>
    <w:rsid w:val="008254C6"/>
    <w:rsid w:val="00830A87"/>
    <w:rsid w:val="008343BE"/>
    <w:rsid w:val="008419D8"/>
    <w:rsid w:val="00843702"/>
    <w:rsid w:val="00847A56"/>
    <w:rsid w:val="00847BB7"/>
    <w:rsid w:val="008514AB"/>
    <w:rsid w:val="008572CD"/>
    <w:rsid w:val="00860F39"/>
    <w:rsid w:val="00863111"/>
    <w:rsid w:val="0087436A"/>
    <w:rsid w:val="00875638"/>
    <w:rsid w:val="0088470B"/>
    <w:rsid w:val="00885006"/>
    <w:rsid w:val="00885CD9"/>
    <w:rsid w:val="00885D61"/>
    <w:rsid w:val="00894DEB"/>
    <w:rsid w:val="008960A3"/>
    <w:rsid w:val="008A0B56"/>
    <w:rsid w:val="008A24EB"/>
    <w:rsid w:val="008B0302"/>
    <w:rsid w:val="008B55D6"/>
    <w:rsid w:val="008B6E40"/>
    <w:rsid w:val="008C3F47"/>
    <w:rsid w:val="008C6CC3"/>
    <w:rsid w:val="008D0057"/>
    <w:rsid w:val="008D25A0"/>
    <w:rsid w:val="008D5A26"/>
    <w:rsid w:val="008D6E37"/>
    <w:rsid w:val="008E0B2D"/>
    <w:rsid w:val="008E41CE"/>
    <w:rsid w:val="008E4CFA"/>
    <w:rsid w:val="008E6B21"/>
    <w:rsid w:val="008F2BCA"/>
    <w:rsid w:val="008F5523"/>
    <w:rsid w:val="00907750"/>
    <w:rsid w:val="009116DE"/>
    <w:rsid w:val="00912CFE"/>
    <w:rsid w:val="009157F6"/>
    <w:rsid w:val="00916719"/>
    <w:rsid w:val="009208EA"/>
    <w:rsid w:val="009228D4"/>
    <w:rsid w:val="009258B8"/>
    <w:rsid w:val="00927A73"/>
    <w:rsid w:val="00930293"/>
    <w:rsid w:val="00955933"/>
    <w:rsid w:val="00955CFA"/>
    <w:rsid w:val="009572DF"/>
    <w:rsid w:val="00957864"/>
    <w:rsid w:val="00957FFB"/>
    <w:rsid w:val="009607BC"/>
    <w:rsid w:val="00965FB5"/>
    <w:rsid w:val="00971C1F"/>
    <w:rsid w:val="00974FCF"/>
    <w:rsid w:val="009763A1"/>
    <w:rsid w:val="00976B76"/>
    <w:rsid w:val="009807D9"/>
    <w:rsid w:val="00990B79"/>
    <w:rsid w:val="00991989"/>
    <w:rsid w:val="00992642"/>
    <w:rsid w:val="00993283"/>
    <w:rsid w:val="0099513F"/>
    <w:rsid w:val="009A187D"/>
    <w:rsid w:val="009A7A6A"/>
    <w:rsid w:val="009B6221"/>
    <w:rsid w:val="009B7A97"/>
    <w:rsid w:val="009C0BAD"/>
    <w:rsid w:val="009C3577"/>
    <w:rsid w:val="009C5521"/>
    <w:rsid w:val="009C5D72"/>
    <w:rsid w:val="009E1E82"/>
    <w:rsid w:val="009E5792"/>
    <w:rsid w:val="009E75CD"/>
    <w:rsid w:val="009F459A"/>
    <w:rsid w:val="009F6E17"/>
    <w:rsid w:val="00A2035B"/>
    <w:rsid w:val="00A20A4A"/>
    <w:rsid w:val="00A21956"/>
    <w:rsid w:val="00A237D6"/>
    <w:rsid w:val="00A26C55"/>
    <w:rsid w:val="00A2717B"/>
    <w:rsid w:val="00A351CD"/>
    <w:rsid w:val="00A45AB8"/>
    <w:rsid w:val="00A468D6"/>
    <w:rsid w:val="00A52030"/>
    <w:rsid w:val="00A5776F"/>
    <w:rsid w:val="00A57C4A"/>
    <w:rsid w:val="00A60B11"/>
    <w:rsid w:val="00A6154F"/>
    <w:rsid w:val="00A66769"/>
    <w:rsid w:val="00A70F28"/>
    <w:rsid w:val="00A75DE1"/>
    <w:rsid w:val="00A8008B"/>
    <w:rsid w:val="00A83698"/>
    <w:rsid w:val="00A844FF"/>
    <w:rsid w:val="00A86186"/>
    <w:rsid w:val="00A8646B"/>
    <w:rsid w:val="00A9141E"/>
    <w:rsid w:val="00A924AF"/>
    <w:rsid w:val="00A95CE5"/>
    <w:rsid w:val="00A97C70"/>
    <w:rsid w:val="00AB1463"/>
    <w:rsid w:val="00AB3B54"/>
    <w:rsid w:val="00AB49A4"/>
    <w:rsid w:val="00AC2050"/>
    <w:rsid w:val="00AC4136"/>
    <w:rsid w:val="00AC54FD"/>
    <w:rsid w:val="00AC67C2"/>
    <w:rsid w:val="00AD4609"/>
    <w:rsid w:val="00AD5382"/>
    <w:rsid w:val="00AD5548"/>
    <w:rsid w:val="00AD6CEC"/>
    <w:rsid w:val="00AE150F"/>
    <w:rsid w:val="00AF268E"/>
    <w:rsid w:val="00AF31C9"/>
    <w:rsid w:val="00AF4D01"/>
    <w:rsid w:val="00B00E1F"/>
    <w:rsid w:val="00B056A2"/>
    <w:rsid w:val="00B07BEC"/>
    <w:rsid w:val="00B1306B"/>
    <w:rsid w:val="00B2196D"/>
    <w:rsid w:val="00B22CAC"/>
    <w:rsid w:val="00B27296"/>
    <w:rsid w:val="00B30652"/>
    <w:rsid w:val="00B31DB4"/>
    <w:rsid w:val="00B3404E"/>
    <w:rsid w:val="00B35334"/>
    <w:rsid w:val="00B36DA3"/>
    <w:rsid w:val="00B41EDE"/>
    <w:rsid w:val="00B46EB5"/>
    <w:rsid w:val="00B47E53"/>
    <w:rsid w:val="00B607A6"/>
    <w:rsid w:val="00B62210"/>
    <w:rsid w:val="00B644EC"/>
    <w:rsid w:val="00B7026F"/>
    <w:rsid w:val="00B7625F"/>
    <w:rsid w:val="00B815C6"/>
    <w:rsid w:val="00B827F9"/>
    <w:rsid w:val="00B9214C"/>
    <w:rsid w:val="00BA02E0"/>
    <w:rsid w:val="00BA2D8F"/>
    <w:rsid w:val="00BB0FF4"/>
    <w:rsid w:val="00BC3FA0"/>
    <w:rsid w:val="00BC4A6F"/>
    <w:rsid w:val="00BC4ED3"/>
    <w:rsid w:val="00BC5699"/>
    <w:rsid w:val="00BD0B63"/>
    <w:rsid w:val="00BD4098"/>
    <w:rsid w:val="00BE575C"/>
    <w:rsid w:val="00BF12CF"/>
    <w:rsid w:val="00BF4E09"/>
    <w:rsid w:val="00BF7255"/>
    <w:rsid w:val="00C016BF"/>
    <w:rsid w:val="00C05EDF"/>
    <w:rsid w:val="00C14B40"/>
    <w:rsid w:val="00C153DB"/>
    <w:rsid w:val="00C15877"/>
    <w:rsid w:val="00C1780D"/>
    <w:rsid w:val="00C17F09"/>
    <w:rsid w:val="00C206A9"/>
    <w:rsid w:val="00C20963"/>
    <w:rsid w:val="00C23413"/>
    <w:rsid w:val="00C268E5"/>
    <w:rsid w:val="00C31EC2"/>
    <w:rsid w:val="00C36809"/>
    <w:rsid w:val="00C41097"/>
    <w:rsid w:val="00C429CE"/>
    <w:rsid w:val="00C534E4"/>
    <w:rsid w:val="00C62CB7"/>
    <w:rsid w:val="00C74B53"/>
    <w:rsid w:val="00C92442"/>
    <w:rsid w:val="00C96310"/>
    <w:rsid w:val="00CB1BEE"/>
    <w:rsid w:val="00CC1962"/>
    <w:rsid w:val="00CC2CCD"/>
    <w:rsid w:val="00CC3BA4"/>
    <w:rsid w:val="00CD575D"/>
    <w:rsid w:val="00CE42BB"/>
    <w:rsid w:val="00CE4CF6"/>
    <w:rsid w:val="00CE6DF5"/>
    <w:rsid w:val="00CF140D"/>
    <w:rsid w:val="00CF2F7E"/>
    <w:rsid w:val="00D06721"/>
    <w:rsid w:val="00D10E3B"/>
    <w:rsid w:val="00D13A5D"/>
    <w:rsid w:val="00D17398"/>
    <w:rsid w:val="00D176FD"/>
    <w:rsid w:val="00D17BB1"/>
    <w:rsid w:val="00D21673"/>
    <w:rsid w:val="00D307B5"/>
    <w:rsid w:val="00D30E0A"/>
    <w:rsid w:val="00D361CE"/>
    <w:rsid w:val="00D37A93"/>
    <w:rsid w:val="00D43755"/>
    <w:rsid w:val="00D45532"/>
    <w:rsid w:val="00D4597B"/>
    <w:rsid w:val="00D47FC2"/>
    <w:rsid w:val="00D51A7A"/>
    <w:rsid w:val="00D5493C"/>
    <w:rsid w:val="00D553DD"/>
    <w:rsid w:val="00D60A84"/>
    <w:rsid w:val="00D619F8"/>
    <w:rsid w:val="00D64F43"/>
    <w:rsid w:val="00D70C31"/>
    <w:rsid w:val="00D80DA3"/>
    <w:rsid w:val="00D81636"/>
    <w:rsid w:val="00D83C2B"/>
    <w:rsid w:val="00D841D0"/>
    <w:rsid w:val="00D922CB"/>
    <w:rsid w:val="00DA46B6"/>
    <w:rsid w:val="00DA4F40"/>
    <w:rsid w:val="00DB081D"/>
    <w:rsid w:val="00DC389A"/>
    <w:rsid w:val="00DC463E"/>
    <w:rsid w:val="00DC55AB"/>
    <w:rsid w:val="00DC67D4"/>
    <w:rsid w:val="00DD0FCE"/>
    <w:rsid w:val="00DD1C77"/>
    <w:rsid w:val="00DD34E2"/>
    <w:rsid w:val="00DE1AB1"/>
    <w:rsid w:val="00DE212B"/>
    <w:rsid w:val="00DE33DF"/>
    <w:rsid w:val="00DE4A2F"/>
    <w:rsid w:val="00E0591F"/>
    <w:rsid w:val="00E10AC0"/>
    <w:rsid w:val="00E11F35"/>
    <w:rsid w:val="00E21C4A"/>
    <w:rsid w:val="00E21CE3"/>
    <w:rsid w:val="00E3494E"/>
    <w:rsid w:val="00E3658E"/>
    <w:rsid w:val="00E372EF"/>
    <w:rsid w:val="00E43B56"/>
    <w:rsid w:val="00E510B0"/>
    <w:rsid w:val="00E539F0"/>
    <w:rsid w:val="00E544C8"/>
    <w:rsid w:val="00E6005D"/>
    <w:rsid w:val="00E62B66"/>
    <w:rsid w:val="00E83EA0"/>
    <w:rsid w:val="00E9690F"/>
    <w:rsid w:val="00EA0CC3"/>
    <w:rsid w:val="00EA1AF7"/>
    <w:rsid w:val="00EB5542"/>
    <w:rsid w:val="00EC76AC"/>
    <w:rsid w:val="00ED18F9"/>
    <w:rsid w:val="00ED2139"/>
    <w:rsid w:val="00ED7D6D"/>
    <w:rsid w:val="00EE01EF"/>
    <w:rsid w:val="00EE7E26"/>
    <w:rsid w:val="00EF363F"/>
    <w:rsid w:val="00EF527F"/>
    <w:rsid w:val="00F1094B"/>
    <w:rsid w:val="00F11B1C"/>
    <w:rsid w:val="00F1242F"/>
    <w:rsid w:val="00F12F63"/>
    <w:rsid w:val="00F1488C"/>
    <w:rsid w:val="00F241E3"/>
    <w:rsid w:val="00F25A3F"/>
    <w:rsid w:val="00F32D7F"/>
    <w:rsid w:val="00F332E2"/>
    <w:rsid w:val="00F35EF1"/>
    <w:rsid w:val="00F36818"/>
    <w:rsid w:val="00F3769E"/>
    <w:rsid w:val="00F413FA"/>
    <w:rsid w:val="00F46B54"/>
    <w:rsid w:val="00F73C90"/>
    <w:rsid w:val="00F7437F"/>
    <w:rsid w:val="00F775D8"/>
    <w:rsid w:val="00F8475B"/>
    <w:rsid w:val="00F9564E"/>
    <w:rsid w:val="00FA5834"/>
    <w:rsid w:val="00FA5DFA"/>
    <w:rsid w:val="00FB1B52"/>
    <w:rsid w:val="00FD674D"/>
    <w:rsid w:val="00FF2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E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E32"/>
    <w:pPr>
      <w:tabs>
        <w:tab w:val="center" w:pos="4153"/>
        <w:tab w:val="right" w:pos="8306"/>
      </w:tabs>
    </w:pPr>
  </w:style>
  <w:style w:type="character" w:styleId="PageNumber">
    <w:name w:val="page number"/>
    <w:basedOn w:val="DefaultParagraphFont"/>
    <w:rsid w:val="00647E32"/>
  </w:style>
  <w:style w:type="paragraph" w:customStyle="1" w:styleId="naisf">
    <w:name w:val="naisf"/>
    <w:basedOn w:val="Normal"/>
    <w:rsid w:val="00647E32"/>
    <w:pPr>
      <w:spacing w:before="75" w:after="75"/>
      <w:ind w:firstLine="375"/>
      <w:jc w:val="both"/>
    </w:pPr>
  </w:style>
  <w:style w:type="paragraph" w:customStyle="1" w:styleId="naisnod">
    <w:name w:val="naisnod"/>
    <w:basedOn w:val="Normal"/>
    <w:rsid w:val="00647E32"/>
    <w:pPr>
      <w:spacing w:before="150" w:after="150"/>
      <w:jc w:val="center"/>
    </w:pPr>
    <w:rPr>
      <w:b/>
      <w:bCs/>
    </w:rPr>
  </w:style>
  <w:style w:type="paragraph" w:customStyle="1" w:styleId="naislab">
    <w:name w:val="naislab"/>
    <w:basedOn w:val="Normal"/>
    <w:rsid w:val="00647E32"/>
    <w:pPr>
      <w:spacing w:before="75" w:after="75"/>
      <w:jc w:val="right"/>
    </w:pPr>
  </w:style>
  <w:style w:type="paragraph" w:customStyle="1" w:styleId="naiskr">
    <w:name w:val="naiskr"/>
    <w:basedOn w:val="Normal"/>
    <w:rsid w:val="00647E32"/>
    <w:pPr>
      <w:spacing w:before="75" w:after="75"/>
    </w:pPr>
  </w:style>
  <w:style w:type="paragraph" w:styleId="FootnoteText">
    <w:name w:val="footnote text"/>
    <w:basedOn w:val="Normal"/>
    <w:semiHidden/>
    <w:rsid w:val="00647E32"/>
    <w:rPr>
      <w:sz w:val="20"/>
      <w:szCs w:val="20"/>
    </w:rPr>
  </w:style>
  <w:style w:type="paragraph" w:styleId="Footer">
    <w:name w:val="footer"/>
    <w:basedOn w:val="Normal"/>
    <w:link w:val="FooterChar"/>
    <w:rsid w:val="00647E32"/>
    <w:pPr>
      <w:tabs>
        <w:tab w:val="center" w:pos="4153"/>
        <w:tab w:val="right" w:pos="8306"/>
      </w:tabs>
    </w:pPr>
  </w:style>
  <w:style w:type="character" w:customStyle="1" w:styleId="FooterChar">
    <w:name w:val="Footer Char"/>
    <w:link w:val="Footer"/>
    <w:semiHidden/>
    <w:rsid w:val="00647E32"/>
    <w:rPr>
      <w:sz w:val="24"/>
      <w:szCs w:val="24"/>
      <w:lang w:val="lv-LV" w:eastAsia="lv-LV" w:bidi="ar-SA"/>
    </w:rPr>
  </w:style>
  <w:style w:type="character" w:styleId="Hyperlink">
    <w:name w:val="Hyperlink"/>
    <w:uiPriority w:val="99"/>
    <w:rsid w:val="00647E32"/>
    <w:rPr>
      <w:color w:val="0000FF"/>
      <w:u w:val="single"/>
    </w:rPr>
  </w:style>
  <w:style w:type="paragraph" w:styleId="NormalWeb">
    <w:name w:val="Normal (Web)"/>
    <w:basedOn w:val="Normal"/>
    <w:rsid w:val="00647E32"/>
    <w:pPr>
      <w:spacing w:before="100" w:beforeAutospacing="1" w:after="100" w:afterAutospacing="1"/>
    </w:pPr>
  </w:style>
  <w:style w:type="character" w:styleId="Strong">
    <w:name w:val="Strong"/>
    <w:qFormat/>
    <w:rsid w:val="00647E32"/>
    <w:rPr>
      <w:b/>
      <w:bCs/>
    </w:rPr>
  </w:style>
  <w:style w:type="paragraph" w:styleId="Title">
    <w:name w:val="Title"/>
    <w:basedOn w:val="Normal"/>
    <w:qFormat/>
    <w:rsid w:val="00647E32"/>
    <w:pPr>
      <w:jc w:val="center"/>
    </w:pPr>
    <w:rPr>
      <w:b/>
      <w:bCs/>
      <w:lang w:eastAsia="en-US"/>
    </w:rPr>
  </w:style>
  <w:style w:type="paragraph" w:customStyle="1" w:styleId="parasts">
    <w:name w:val="parasts"/>
    <w:basedOn w:val="Normal"/>
    <w:link w:val="parastsChar"/>
    <w:rsid w:val="00DC389A"/>
    <w:pPr>
      <w:spacing w:before="50" w:after="50"/>
      <w:jc w:val="both"/>
    </w:pPr>
    <w:rPr>
      <w:lang w:eastAsia="en-US"/>
    </w:rPr>
  </w:style>
  <w:style w:type="character" w:customStyle="1" w:styleId="parastsChar">
    <w:name w:val="parasts Char"/>
    <w:link w:val="parasts"/>
    <w:rsid w:val="00DC389A"/>
    <w:rPr>
      <w:sz w:val="24"/>
      <w:szCs w:val="24"/>
      <w:lang w:val="lv-LV" w:eastAsia="en-US" w:bidi="ar-SA"/>
    </w:rPr>
  </w:style>
  <w:style w:type="paragraph" w:customStyle="1" w:styleId="Default">
    <w:name w:val="Default"/>
    <w:rsid w:val="00641BBD"/>
    <w:pPr>
      <w:autoSpaceDE w:val="0"/>
      <w:autoSpaceDN w:val="0"/>
      <w:adjustRightInd w:val="0"/>
    </w:pPr>
    <w:rPr>
      <w:color w:val="000000"/>
      <w:sz w:val="24"/>
      <w:szCs w:val="24"/>
    </w:rPr>
  </w:style>
  <w:style w:type="paragraph" w:styleId="ListParagraph">
    <w:name w:val="List Paragraph"/>
    <w:basedOn w:val="Normal"/>
    <w:qFormat/>
    <w:rsid w:val="00AB49A4"/>
    <w:pPr>
      <w:spacing w:after="200" w:line="276" w:lineRule="auto"/>
      <w:ind w:left="720"/>
      <w:contextualSpacing/>
    </w:pPr>
    <w:rPr>
      <w:rFonts w:ascii="Calibri" w:eastAsia="Calibri" w:hAnsi="Calibri"/>
      <w:sz w:val="22"/>
      <w:szCs w:val="22"/>
      <w:lang w:eastAsia="en-US"/>
    </w:rPr>
  </w:style>
  <w:style w:type="character" w:styleId="FootnoteReference">
    <w:name w:val="footnote reference"/>
    <w:rsid w:val="000F5127"/>
    <w:rPr>
      <w:position w:val="0"/>
      <w:vertAlign w:val="superscript"/>
    </w:rPr>
  </w:style>
  <w:style w:type="character" w:styleId="CommentReference">
    <w:name w:val="annotation reference"/>
    <w:rsid w:val="00301042"/>
    <w:rPr>
      <w:sz w:val="16"/>
      <w:szCs w:val="16"/>
    </w:rPr>
  </w:style>
  <w:style w:type="paragraph" w:styleId="CommentText">
    <w:name w:val="annotation text"/>
    <w:basedOn w:val="Normal"/>
    <w:link w:val="CommentTextChar"/>
    <w:rsid w:val="00301042"/>
    <w:rPr>
      <w:sz w:val="20"/>
      <w:szCs w:val="20"/>
    </w:rPr>
  </w:style>
  <w:style w:type="character" w:customStyle="1" w:styleId="CommentTextChar">
    <w:name w:val="Comment Text Char"/>
    <w:basedOn w:val="DefaultParagraphFont"/>
    <w:link w:val="CommentText"/>
    <w:rsid w:val="00301042"/>
  </w:style>
  <w:style w:type="paragraph" w:styleId="CommentSubject">
    <w:name w:val="annotation subject"/>
    <w:basedOn w:val="CommentText"/>
    <w:next w:val="CommentText"/>
    <w:link w:val="CommentSubjectChar"/>
    <w:rsid w:val="00301042"/>
    <w:rPr>
      <w:b/>
      <w:bCs/>
    </w:rPr>
  </w:style>
  <w:style w:type="character" w:customStyle="1" w:styleId="CommentSubjectChar">
    <w:name w:val="Comment Subject Char"/>
    <w:link w:val="CommentSubject"/>
    <w:rsid w:val="00301042"/>
    <w:rPr>
      <w:b/>
      <w:bCs/>
    </w:rPr>
  </w:style>
  <w:style w:type="paragraph" w:styleId="BalloonText">
    <w:name w:val="Balloon Text"/>
    <w:basedOn w:val="Normal"/>
    <w:link w:val="BalloonTextChar"/>
    <w:rsid w:val="00301042"/>
    <w:rPr>
      <w:rFonts w:ascii="Segoe UI" w:hAnsi="Segoe UI"/>
      <w:sz w:val="18"/>
      <w:szCs w:val="18"/>
    </w:rPr>
  </w:style>
  <w:style w:type="character" w:customStyle="1" w:styleId="BalloonTextChar">
    <w:name w:val="Balloon Text Char"/>
    <w:link w:val="BalloonText"/>
    <w:rsid w:val="00301042"/>
    <w:rPr>
      <w:rFonts w:ascii="Segoe UI" w:hAnsi="Segoe UI" w:cs="Segoe UI"/>
      <w:sz w:val="18"/>
      <w:szCs w:val="18"/>
    </w:rPr>
  </w:style>
  <w:style w:type="paragraph" w:styleId="PlainText">
    <w:name w:val="Plain Text"/>
    <w:basedOn w:val="Normal"/>
    <w:link w:val="PlainTextChar"/>
    <w:uiPriority w:val="99"/>
    <w:unhideWhenUsed/>
    <w:rsid w:val="00245027"/>
    <w:rPr>
      <w:rFonts w:ascii="Consolas" w:eastAsia="Calibri" w:hAnsi="Consolas"/>
      <w:sz w:val="21"/>
      <w:szCs w:val="21"/>
      <w:lang w:eastAsia="en-US"/>
    </w:rPr>
  </w:style>
  <w:style w:type="character" w:customStyle="1" w:styleId="PlainTextChar">
    <w:name w:val="Plain Text Char"/>
    <w:link w:val="PlainText"/>
    <w:uiPriority w:val="99"/>
    <w:rsid w:val="00245027"/>
    <w:rPr>
      <w:rFonts w:ascii="Consolas" w:eastAsia="Calibri" w:hAnsi="Consolas" w:cs="Times New Roman"/>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231059">
      <w:bodyDiv w:val="1"/>
      <w:marLeft w:val="0"/>
      <w:marRight w:val="0"/>
      <w:marTop w:val="0"/>
      <w:marBottom w:val="0"/>
      <w:divBdr>
        <w:top w:val="none" w:sz="0" w:space="0" w:color="auto"/>
        <w:left w:val="none" w:sz="0" w:space="0" w:color="auto"/>
        <w:bottom w:val="none" w:sz="0" w:space="0" w:color="auto"/>
        <w:right w:val="none" w:sz="0" w:space="0" w:color="auto"/>
      </w:divBdr>
    </w:div>
    <w:div w:id="1205681596">
      <w:bodyDiv w:val="1"/>
      <w:marLeft w:val="0"/>
      <w:marRight w:val="0"/>
      <w:marTop w:val="0"/>
      <w:marBottom w:val="0"/>
      <w:divBdr>
        <w:top w:val="none" w:sz="0" w:space="0" w:color="auto"/>
        <w:left w:val="none" w:sz="0" w:space="0" w:color="auto"/>
        <w:bottom w:val="none" w:sz="0" w:space="0" w:color="auto"/>
        <w:right w:val="none" w:sz="0" w:space="0" w:color="auto"/>
      </w:divBdr>
    </w:div>
    <w:div w:id="1310867762">
      <w:bodyDiv w:val="1"/>
      <w:marLeft w:val="0"/>
      <w:marRight w:val="0"/>
      <w:marTop w:val="0"/>
      <w:marBottom w:val="0"/>
      <w:divBdr>
        <w:top w:val="none" w:sz="0" w:space="0" w:color="auto"/>
        <w:left w:val="none" w:sz="0" w:space="0" w:color="auto"/>
        <w:bottom w:val="none" w:sz="0" w:space="0" w:color="auto"/>
        <w:right w:val="none" w:sz="0" w:space="0" w:color="auto"/>
      </w:divBdr>
    </w:div>
    <w:div w:id="1783331581">
      <w:bodyDiv w:val="1"/>
      <w:marLeft w:val="0"/>
      <w:marRight w:val="0"/>
      <w:marTop w:val="0"/>
      <w:marBottom w:val="0"/>
      <w:divBdr>
        <w:top w:val="none" w:sz="0" w:space="0" w:color="auto"/>
        <w:left w:val="none" w:sz="0" w:space="0" w:color="auto"/>
        <w:bottom w:val="none" w:sz="0" w:space="0" w:color="auto"/>
        <w:right w:val="none" w:sz="0" w:space="0" w:color="auto"/>
      </w:divBdr>
      <w:divsChild>
        <w:div w:id="1106386186">
          <w:marLeft w:val="0"/>
          <w:marRight w:val="0"/>
          <w:marTop w:val="0"/>
          <w:marBottom w:val="0"/>
          <w:divBdr>
            <w:top w:val="none" w:sz="0" w:space="0" w:color="auto"/>
            <w:left w:val="none" w:sz="0" w:space="0" w:color="auto"/>
            <w:bottom w:val="none" w:sz="0" w:space="0" w:color="auto"/>
            <w:right w:val="none" w:sz="0" w:space="0" w:color="auto"/>
          </w:divBdr>
        </w:div>
        <w:div w:id="291324856">
          <w:marLeft w:val="0"/>
          <w:marRight w:val="0"/>
          <w:marTop w:val="0"/>
          <w:marBottom w:val="0"/>
          <w:divBdr>
            <w:top w:val="none" w:sz="0" w:space="0" w:color="auto"/>
            <w:left w:val="none" w:sz="0" w:space="0" w:color="auto"/>
            <w:bottom w:val="none" w:sz="0" w:space="0" w:color="auto"/>
            <w:right w:val="none" w:sz="0" w:space="0" w:color="auto"/>
          </w:divBdr>
        </w:div>
        <w:div w:id="79721013">
          <w:marLeft w:val="0"/>
          <w:marRight w:val="0"/>
          <w:marTop w:val="0"/>
          <w:marBottom w:val="0"/>
          <w:divBdr>
            <w:top w:val="none" w:sz="0" w:space="0" w:color="auto"/>
            <w:left w:val="none" w:sz="0" w:space="0" w:color="auto"/>
            <w:bottom w:val="none" w:sz="0" w:space="0" w:color="auto"/>
            <w:right w:val="none" w:sz="0" w:space="0" w:color="auto"/>
          </w:divBdr>
        </w:div>
        <w:div w:id="1921451938">
          <w:marLeft w:val="0"/>
          <w:marRight w:val="0"/>
          <w:marTop w:val="0"/>
          <w:marBottom w:val="0"/>
          <w:divBdr>
            <w:top w:val="none" w:sz="0" w:space="0" w:color="auto"/>
            <w:left w:val="none" w:sz="0" w:space="0" w:color="auto"/>
            <w:bottom w:val="none" w:sz="0" w:space="0" w:color="auto"/>
            <w:right w:val="none" w:sz="0" w:space="0" w:color="auto"/>
          </w:divBdr>
        </w:div>
      </w:divsChild>
    </w:div>
    <w:div w:id="1793865608">
      <w:bodyDiv w:val="1"/>
      <w:marLeft w:val="0"/>
      <w:marRight w:val="0"/>
      <w:marTop w:val="0"/>
      <w:marBottom w:val="0"/>
      <w:divBdr>
        <w:top w:val="none" w:sz="0" w:space="0" w:color="auto"/>
        <w:left w:val="none" w:sz="0" w:space="0" w:color="auto"/>
        <w:bottom w:val="none" w:sz="0" w:space="0" w:color="auto"/>
        <w:right w:val="none" w:sz="0" w:space="0" w:color="auto"/>
      </w:divBdr>
    </w:div>
    <w:div w:id="182912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E00BA7-49EE-40EE-B7AE-EDD97C581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13721</Words>
  <Characters>7821</Characters>
  <Application>Microsoft Office Word</Application>
  <DocSecurity>0</DocSecurity>
  <Lines>65</Lines>
  <Paragraphs>42</Paragraphs>
  <ScaleCrop>false</ScaleCrop>
  <HeadingPairs>
    <vt:vector size="2" baseType="variant">
      <vt:variant>
        <vt:lpstr>Title</vt:lpstr>
      </vt:variant>
      <vt:variant>
        <vt:i4>1</vt:i4>
      </vt:variant>
    </vt:vector>
  </HeadingPairs>
  <TitlesOfParts>
    <vt:vector size="1" baseType="lpstr">
      <vt:lpstr>Likumprojekta anotācija</vt:lpstr>
    </vt:vector>
  </TitlesOfParts>
  <Company>vidm</Company>
  <LinksUpToDate>false</LinksUpToDate>
  <CharactersWithSpaces>21500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anotācija</dc:title>
  <dc:creator>LindaT</dc:creator>
  <cp:lastModifiedBy>Laimdota Adlere</cp:lastModifiedBy>
  <cp:revision>4</cp:revision>
  <cp:lastPrinted>2014-12-08T12:13:00Z</cp:lastPrinted>
  <dcterms:created xsi:type="dcterms:W3CDTF">2015-05-07T06:56:00Z</dcterms:created>
  <dcterms:modified xsi:type="dcterms:W3CDTF">2015-05-07T06:56:00Z</dcterms:modified>
</cp:coreProperties>
</file>